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A857B" w14:textId="77777777" w:rsidR="00061BB7" w:rsidRDefault="00061BB7">
      <w:pPr>
        <w:rPr>
          <w:b/>
          <w:sz w:val="36"/>
          <w:szCs w:val="36"/>
        </w:rPr>
      </w:pPr>
      <w:bookmarkStart w:id="0" w:name="_GoBack"/>
      <w:bookmarkEnd w:id="0"/>
    </w:p>
    <w:p w14:paraId="094A4173" w14:textId="1578CCFE" w:rsidR="00061BB7" w:rsidRDefault="005C148D" w:rsidP="00BF476C">
      <w:pPr>
        <w:rPr>
          <w:b/>
          <w:sz w:val="36"/>
          <w:szCs w:val="36"/>
        </w:rPr>
      </w:pPr>
      <w:r>
        <w:rPr>
          <w:b/>
          <w:noProof/>
          <w:sz w:val="36"/>
          <w:szCs w:val="36"/>
          <w:lang w:eastAsia="en-AU"/>
        </w:rPr>
        <w:drawing>
          <wp:anchor distT="0" distB="0" distL="114300" distR="114300" simplePos="0" relativeHeight="251658240" behindDoc="0" locked="0" layoutInCell="1" allowOverlap="1" wp14:anchorId="0CD607E7" wp14:editId="73AA5DD0">
            <wp:simplePos x="540689" y="723569"/>
            <wp:positionH relativeFrom="margin">
              <wp:align>center</wp:align>
            </wp:positionH>
            <wp:positionV relativeFrom="margin">
              <wp:align>top</wp:align>
            </wp:positionV>
            <wp:extent cx="6120000" cy="1828350"/>
            <wp:effectExtent l="0" t="0" r="0" b="635"/>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bargaining_2019 email_header_v2.jpg"/>
                    <pic:cNvPicPr/>
                  </pic:nvPicPr>
                  <pic:blipFill>
                    <a:blip r:embed="rId8">
                      <a:extLst>
                        <a:ext uri="{28A0092B-C50C-407E-A947-70E740481C1C}">
                          <a14:useLocalDpi xmlns:a14="http://schemas.microsoft.com/office/drawing/2010/main" val="0"/>
                        </a:ext>
                      </a:extLst>
                    </a:blip>
                    <a:stretch>
                      <a:fillRect/>
                    </a:stretch>
                  </pic:blipFill>
                  <pic:spPr>
                    <a:xfrm>
                      <a:off x="0" y="0"/>
                      <a:ext cx="6120000" cy="1828350"/>
                    </a:xfrm>
                    <a:prstGeom prst="rect">
                      <a:avLst/>
                    </a:prstGeom>
                  </pic:spPr>
                </pic:pic>
              </a:graphicData>
            </a:graphic>
            <wp14:sizeRelH relativeFrom="margin">
              <wp14:pctWidth>0</wp14:pctWidth>
            </wp14:sizeRelH>
            <wp14:sizeRelV relativeFrom="margin">
              <wp14:pctHeight>0</wp14:pctHeight>
            </wp14:sizeRelV>
          </wp:anchor>
        </w:drawing>
      </w:r>
      <w:r w:rsidR="00061BB7">
        <w:rPr>
          <w:b/>
          <w:sz w:val="36"/>
          <w:szCs w:val="36"/>
        </w:rPr>
        <w:t>Increased Protections for Fixed and Specified Task Employees</w:t>
      </w:r>
    </w:p>
    <w:p w14:paraId="03B04D32" w14:textId="00BD8AD5" w:rsidR="005C148D" w:rsidRDefault="005C148D" w:rsidP="00BF476C">
      <w:pPr>
        <w:rPr>
          <w:b/>
        </w:rPr>
      </w:pPr>
    </w:p>
    <w:p w14:paraId="0283CDBF" w14:textId="77777777" w:rsidR="00061BB7" w:rsidRPr="005C148D" w:rsidRDefault="00061BB7" w:rsidP="00BF476C">
      <w:pPr>
        <w:rPr>
          <w:b/>
        </w:rPr>
      </w:pPr>
    </w:p>
    <w:p w14:paraId="76863AEA" w14:textId="0B34D00C" w:rsidR="00F55FA7" w:rsidRPr="00164DCA" w:rsidRDefault="0003330A" w:rsidP="00400B19">
      <w:pPr>
        <w:pStyle w:val="ListParagraph"/>
        <w:numPr>
          <w:ilvl w:val="0"/>
          <w:numId w:val="6"/>
        </w:numPr>
        <w:shd w:val="clear" w:color="auto" w:fill="D9D9D9" w:themeFill="background1" w:themeFillShade="D9"/>
        <w:rPr>
          <w:b/>
          <w:sz w:val="26"/>
          <w:szCs w:val="26"/>
        </w:rPr>
      </w:pPr>
      <w:r w:rsidRPr="00164DCA">
        <w:rPr>
          <w:b/>
          <w:sz w:val="26"/>
          <w:szCs w:val="26"/>
        </w:rPr>
        <w:t>Objectives</w:t>
      </w:r>
    </w:p>
    <w:p w14:paraId="4E608FAC" w14:textId="77777777" w:rsidR="0003330A" w:rsidRPr="00164DCA" w:rsidRDefault="0003330A"/>
    <w:p w14:paraId="71592AC6" w14:textId="77777777" w:rsidR="00045DB0" w:rsidRDefault="0003330A" w:rsidP="00045DB0">
      <w:pPr>
        <w:ind w:left="0" w:firstLine="0"/>
        <w:rPr>
          <w:b/>
        </w:rPr>
      </w:pPr>
      <w:r w:rsidRPr="00164DCA">
        <w:rPr>
          <w:b/>
        </w:rPr>
        <w:t xml:space="preserve">Current </w:t>
      </w:r>
      <w:r w:rsidR="00F52C35" w:rsidRPr="00164DCA">
        <w:rPr>
          <w:b/>
        </w:rPr>
        <w:t xml:space="preserve">Clause </w:t>
      </w:r>
      <w:r w:rsidRPr="00164DCA">
        <w:rPr>
          <w:b/>
        </w:rPr>
        <w:t>11.1.3 v</w:t>
      </w:r>
      <w:r w:rsidR="00D73601">
        <w:rPr>
          <w:b/>
        </w:rPr>
        <w:t>:</w:t>
      </w:r>
    </w:p>
    <w:p w14:paraId="7486CC16" w14:textId="04CAD662" w:rsidR="0003330A" w:rsidRPr="00045DB0" w:rsidRDefault="00D73601" w:rsidP="00045DB0">
      <w:pPr>
        <w:ind w:left="0" w:firstLine="0"/>
        <w:rPr>
          <w:b/>
        </w:rPr>
      </w:pPr>
      <w:r>
        <w:rPr>
          <w:b/>
        </w:rPr>
        <w:t>“</w:t>
      </w:r>
      <w:r w:rsidR="0003330A" w:rsidRPr="00164DCA">
        <w:rPr>
          <w:i/>
        </w:rPr>
        <w:t>Promote the engagement of ongoing employees in preference to non-ongoing employees</w:t>
      </w:r>
      <w:r w:rsidR="00F55FA7" w:rsidRPr="00164DCA">
        <w:rPr>
          <w:i/>
        </w:rPr>
        <w:t>”</w:t>
      </w:r>
    </w:p>
    <w:p w14:paraId="39487756" w14:textId="121E0131" w:rsidR="0003330A" w:rsidRPr="00164DCA" w:rsidRDefault="0003330A"/>
    <w:p w14:paraId="6EB6115C" w14:textId="77777777" w:rsidR="00045DB0" w:rsidRDefault="0003330A" w:rsidP="00045DB0">
      <w:pPr>
        <w:ind w:left="0" w:firstLine="0"/>
        <w:rPr>
          <w:b/>
        </w:rPr>
      </w:pPr>
      <w:r w:rsidRPr="00164DCA">
        <w:rPr>
          <w:b/>
        </w:rPr>
        <w:t xml:space="preserve">Proposed </w:t>
      </w:r>
      <w:r w:rsidR="00F55FA7" w:rsidRPr="00164DCA">
        <w:rPr>
          <w:b/>
        </w:rPr>
        <w:t>Clause</w:t>
      </w:r>
      <w:r w:rsidR="00061BB7">
        <w:rPr>
          <w:b/>
        </w:rPr>
        <w:t xml:space="preserve"> 11.1.3 v</w:t>
      </w:r>
      <w:r w:rsidR="00164DCA">
        <w:rPr>
          <w:b/>
        </w:rPr>
        <w:t xml:space="preserve">: </w:t>
      </w:r>
    </w:p>
    <w:p w14:paraId="6E06571B" w14:textId="2B6F7A5D" w:rsidR="00F55FA7" w:rsidRPr="0098487F" w:rsidRDefault="00F55FA7" w:rsidP="00045DB0">
      <w:pPr>
        <w:ind w:left="0" w:firstLine="0"/>
      </w:pPr>
      <w:r w:rsidRPr="0098487F">
        <w:rPr>
          <w:i/>
          <w:sz w:val="24"/>
          <w:szCs w:val="24"/>
        </w:rPr>
        <w:t xml:space="preserve">“Promote the engagement of ongoing employees in preference to non-ongoing employees and </w:t>
      </w:r>
      <w:r w:rsidR="00DB5947" w:rsidRPr="0098487F">
        <w:rPr>
          <w:i/>
          <w:sz w:val="24"/>
          <w:szCs w:val="24"/>
        </w:rPr>
        <w:t xml:space="preserve">carefully monitor </w:t>
      </w:r>
      <w:r w:rsidRPr="0098487F">
        <w:rPr>
          <w:i/>
          <w:sz w:val="24"/>
          <w:szCs w:val="24"/>
        </w:rPr>
        <w:t>all non-ongoing positions to ensure the ABC is not unintentionally misusing the forms of employment provisions of this Agreement.”</w:t>
      </w:r>
    </w:p>
    <w:p w14:paraId="437F509A" w14:textId="4357D249" w:rsidR="0003330A" w:rsidRDefault="0003330A"/>
    <w:p w14:paraId="1B2B120A" w14:textId="77777777" w:rsidR="00061BB7" w:rsidRPr="00164DCA" w:rsidRDefault="00061BB7"/>
    <w:p w14:paraId="18997B32" w14:textId="50D7EA6E" w:rsidR="00F55FA7" w:rsidRPr="00164DCA" w:rsidRDefault="0003330A" w:rsidP="00400B19">
      <w:pPr>
        <w:pStyle w:val="ListParagraph"/>
        <w:numPr>
          <w:ilvl w:val="0"/>
          <w:numId w:val="6"/>
        </w:numPr>
        <w:shd w:val="clear" w:color="auto" w:fill="D9D9D9" w:themeFill="background1" w:themeFillShade="D9"/>
        <w:rPr>
          <w:b/>
          <w:sz w:val="26"/>
          <w:szCs w:val="26"/>
        </w:rPr>
      </w:pPr>
      <w:r w:rsidRPr="00164DCA">
        <w:rPr>
          <w:b/>
          <w:sz w:val="26"/>
          <w:szCs w:val="26"/>
        </w:rPr>
        <w:t>Specified Task excluding Run of Show</w:t>
      </w:r>
    </w:p>
    <w:p w14:paraId="24854607" w14:textId="77777777" w:rsidR="0003330A" w:rsidRPr="00164DCA" w:rsidRDefault="0003330A">
      <w:pPr>
        <w:rPr>
          <w:b/>
        </w:rPr>
      </w:pPr>
    </w:p>
    <w:p w14:paraId="1ACCA280" w14:textId="77777777" w:rsidR="00061BB7" w:rsidRDefault="00407FE4" w:rsidP="00164DCA">
      <w:pPr>
        <w:ind w:left="0" w:firstLine="0"/>
        <w:rPr>
          <w:b/>
        </w:rPr>
      </w:pPr>
      <w:r w:rsidRPr="00164DCA">
        <w:rPr>
          <w:b/>
        </w:rPr>
        <w:t xml:space="preserve">Current </w:t>
      </w:r>
      <w:r w:rsidR="00F52C35" w:rsidRPr="00164DCA">
        <w:rPr>
          <w:b/>
        </w:rPr>
        <w:t xml:space="preserve">Clause </w:t>
      </w:r>
      <w:r w:rsidR="00465019" w:rsidRPr="00164DCA">
        <w:rPr>
          <w:b/>
        </w:rPr>
        <w:t>14.3.3</w:t>
      </w:r>
      <w:r w:rsidR="00D5536E" w:rsidRPr="00164DCA">
        <w:rPr>
          <w:b/>
        </w:rPr>
        <w:t xml:space="preserve">: </w:t>
      </w:r>
    </w:p>
    <w:p w14:paraId="0CAA69DD" w14:textId="5E5FC31A" w:rsidR="00465019" w:rsidRPr="00164DCA" w:rsidRDefault="00F55FA7" w:rsidP="00045DB0">
      <w:pPr>
        <w:ind w:left="0" w:firstLine="0"/>
        <w:rPr>
          <w:i/>
        </w:rPr>
      </w:pPr>
      <w:r w:rsidRPr="00164DCA">
        <w:rPr>
          <w:i/>
        </w:rPr>
        <w:t>“</w:t>
      </w:r>
      <w:r w:rsidR="00465019" w:rsidRPr="00164DCA">
        <w:rPr>
          <w:i/>
        </w:rPr>
        <w:t>An employee, other than a Run of Show employee, who has been employed on two or more consecutive specified task engagements</w:t>
      </w:r>
      <w:r w:rsidR="00407FE4" w:rsidRPr="00164DCA">
        <w:rPr>
          <w:i/>
        </w:rPr>
        <w:t>, may request in writing that the ABC consider whether their employment should be converted to ongoing employment. Where it is demonstrated that the specified task employment is not consistent with relevant case law considering the nature of specified task employment, the ABC will offer to convert the employee to ongoing employment.</w:t>
      </w:r>
      <w:r w:rsidRPr="00164DCA">
        <w:rPr>
          <w:i/>
        </w:rPr>
        <w:t>”</w:t>
      </w:r>
    </w:p>
    <w:p w14:paraId="3D3B3F18" w14:textId="4616C596" w:rsidR="00407FE4" w:rsidRPr="00164DCA" w:rsidRDefault="00407FE4"/>
    <w:p w14:paraId="2FB6DD5F" w14:textId="793F5EEF" w:rsidR="00061BB7" w:rsidRPr="00761E53" w:rsidRDefault="00F52C35" w:rsidP="00761E53">
      <w:pPr>
        <w:rPr>
          <w:b/>
        </w:rPr>
      </w:pPr>
      <w:r w:rsidRPr="00164DCA">
        <w:rPr>
          <w:b/>
        </w:rPr>
        <w:t>Proposed Clause</w:t>
      </w:r>
      <w:r w:rsidR="00761E53">
        <w:rPr>
          <w:b/>
        </w:rPr>
        <w:t xml:space="preserve"> added </w:t>
      </w:r>
      <w:r w:rsidR="00045DB0">
        <w:rPr>
          <w:b/>
        </w:rPr>
        <w:t xml:space="preserve">as </w:t>
      </w:r>
      <w:r w:rsidR="00B12156" w:rsidRPr="00761E53">
        <w:rPr>
          <w:b/>
        </w:rPr>
        <w:t>14.3.3</w:t>
      </w:r>
      <w:r w:rsidR="00045DB0">
        <w:rPr>
          <w:b/>
        </w:rPr>
        <w:t xml:space="preserve"> (a)</w:t>
      </w:r>
      <w:r w:rsidR="00B12156" w:rsidRPr="00761E53">
        <w:rPr>
          <w:b/>
        </w:rPr>
        <w:t>:</w:t>
      </w:r>
    </w:p>
    <w:p w14:paraId="7B35A1E6" w14:textId="22F492DD" w:rsidR="00DB5947" w:rsidRPr="00045DB0" w:rsidRDefault="00B12156" w:rsidP="00045DB0">
      <w:pPr>
        <w:ind w:left="0" w:firstLine="0"/>
        <w:rPr>
          <w:i/>
        </w:rPr>
      </w:pPr>
      <w:r w:rsidRPr="00045DB0">
        <w:rPr>
          <w:i/>
        </w:rPr>
        <w:t xml:space="preserve"> “Whe</w:t>
      </w:r>
      <w:r w:rsidR="00061BB7" w:rsidRPr="00045DB0">
        <w:rPr>
          <w:i/>
        </w:rPr>
        <w:t>n t</w:t>
      </w:r>
      <w:r w:rsidRPr="00045DB0">
        <w:rPr>
          <w:i/>
        </w:rPr>
        <w:t xml:space="preserve">he ABC decides to not convert the employee to ongoing employment, it will provide the employee with reasons in writing within 14 days of the date of its decision”. </w:t>
      </w:r>
    </w:p>
    <w:p w14:paraId="1A59CE5B" w14:textId="77777777" w:rsidR="00B12156" w:rsidRPr="00045DB0" w:rsidRDefault="00B12156" w:rsidP="00221774">
      <w:pPr>
        <w:ind w:left="0" w:firstLine="0"/>
        <w:rPr>
          <w:i/>
          <w:color w:val="C0504D" w:themeColor="accent2"/>
        </w:rPr>
      </w:pPr>
    </w:p>
    <w:p w14:paraId="490A673F" w14:textId="7214429E" w:rsidR="00761E53" w:rsidRPr="00761E53" w:rsidRDefault="00761E53" w:rsidP="00221774">
      <w:pPr>
        <w:ind w:left="0" w:firstLine="0"/>
        <w:rPr>
          <w:b/>
        </w:rPr>
      </w:pPr>
      <w:r w:rsidRPr="00761E53">
        <w:rPr>
          <w:b/>
        </w:rPr>
        <w:t xml:space="preserve">Proposed Clause added </w:t>
      </w:r>
      <w:r w:rsidR="00B12156" w:rsidRPr="00761E53">
        <w:rPr>
          <w:b/>
        </w:rPr>
        <w:t>as 14.3.3 (b):</w:t>
      </w:r>
    </w:p>
    <w:p w14:paraId="09E25737" w14:textId="4C1B2940" w:rsidR="00F55FA7" w:rsidRPr="00045DB0" w:rsidRDefault="00B12156" w:rsidP="00045DB0">
      <w:pPr>
        <w:ind w:left="0" w:firstLine="0"/>
        <w:rPr>
          <w:i/>
        </w:rPr>
      </w:pPr>
      <w:r w:rsidRPr="00045DB0">
        <w:rPr>
          <w:i/>
        </w:rPr>
        <w:t xml:space="preserve"> </w:t>
      </w:r>
      <w:r w:rsidR="00221774" w:rsidRPr="00045DB0">
        <w:rPr>
          <w:i/>
        </w:rPr>
        <w:t>“</w:t>
      </w:r>
      <w:r w:rsidR="00F55FA7" w:rsidRPr="00045DB0">
        <w:rPr>
          <w:i/>
        </w:rPr>
        <w:t xml:space="preserve">A </w:t>
      </w:r>
      <w:r w:rsidR="00221774" w:rsidRPr="00045DB0">
        <w:rPr>
          <w:i/>
        </w:rPr>
        <w:t xml:space="preserve">specified task employee </w:t>
      </w:r>
      <w:r w:rsidR="00F55FA7" w:rsidRPr="00045DB0">
        <w:rPr>
          <w:i/>
        </w:rPr>
        <w:t>must not be engaged and re-engaged (which includes a refusal to re-engage), or have their hours reduced or varied, in order to avoid any right or obligation under this clause</w:t>
      </w:r>
      <w:r w:rsidR="00221774" w:rsidRPr="00045DB0">
        <w:rPr>
          <w:i/>
        </w:rPr>
        <w:t>”</w:t>
      </w:r>
      <w:r w:rsidR="00F55FA7" w:rsidRPr="00045DB0">
        <w:rPr>
          <w:i/>
        </w:rPr>
        <w:t>.</w:t>
      </w:r>
    </w:p>
    <w:p w14:paraId="084527D4" w14:textId="601596FA" w:rsidR="00F52C35" w:rsidRPr="00164DCA" w:rsidRDefault="00F52C35">
      <w:pPr>
        <w:rPr>
          <w:b/>
          <w:color w:val="C0504D" w:themeColor="accent2"/>
        </w:rPr>
      </w:pPr>
    </w:p>
    <w:p w14:paraId="24089963" w14:textId="0E4C898F" w:rsidR="00761E53" w:rsidRPr="00045DB0" w:rsidRDefault="00761E53" w:rsidP="00407FE4">
      <w:pPr>
        <w:pStyle w:val="Default"/>
        <w:rPr>
          <w:rFonts w:asciiTheme="minorHAnsi" w:hAnsiTheme="minorHAnsi"/>
          <w:b/>
          <w:color w:val="auto"/>
          <w:sz w:val="22"/>
          <w:szCs w:val="22"/>
        </w:rPr>
      </w:pPr>
      <w:r w:rsidRPr="00045DB0">
        <w:rPr>
          <w:rFonts w:asciiTheme="minorHAnsi" w:hAnsiTheme="minorHAnsi"/>
          <w:b/>
          <w:color w:val="auto"/>
          <w:sz w:val="22"/>
          <w:szCs w:val="22"/>
        </w:rPr>
        <w:t xml:space="preserve">Proposed Clause added </w:t>
      </w:r>
      <w:r w:rsidR="00B12156" w:rsidRPr="00045DB0">
        <w:rPr>
          <w:rFonts w:asciiTheme="minorHAnsi" w:hAnsiTheme="minorHAnsi"/>
          <w:b/>
          <w:color w:val="auto"/>
          <w:sz w:val="22"/>
          <w:szCs w:val="22"/>
        </w:rPr>
        <w:t>as 14.3.3 (</w:t>
      </w:r>
      <w:r w:rsidR="00D73601" w:rsidRPr="00045DB0">
        <w:rPr>
          <w:rFonts w:asciiTheme="minorHAnsi" w:hAnsiTheme="minorHAnsi"/>
          <w:b/>
          <w:color w:val="auto"/>
          <w:sz w:val="22"/>
          <w:szCs w:val="22"/>
        </w:rPr>
        <w:t>c)</w:t>
      </w:r>
      <w:r w:rsidR="00B12156" w:rsidRPr="00045DB0">
        <w:rPr>
          <w:rFonts w:asciiTheme="minorHAnsi" w:hAnsiTheme="minorHAnsi"/>
          <w:b/>
          <w:color w:val="auto"/>
          <w:sz w:val="22"/>
          <w:szCs w:val="22"/>
        </w:rPr>
        <w:t>:</w:t>
      </w:r>
    </w:p>
    <w:p w14:paraId="3AFC48FE" w14:textId="668C00D3" w:rsidR="00407FE4" w:rsidRPr="00045DB0" w:rsidRDefault="00B12156" w:rsidP="00407FE4">
      <w:pPr>
        <w:pStyle w:val="Default"/>
        <w:rPr>
          <w:rFonts w:asciiTheme="minorHAnsi" w:hAnsiTheme="minorHAnsi"/>
          <w:i/>
          <w:color w:val="auto"/>
          <w:sz w:val="22"/>
          <w:szCs w:val="22"/>
        </w:rPr>
      </w:pPr>
      <w:r w:rsidRPr="00045DB0">
        <w:rPr>
          <w:rFonts w:asciiTheme="minorHAnsi" w:hAnsiTheme="minorHAnsi"/>
          <w:i/>
          <w:color w:val="auto"/>
          <w:sz w:val="22"/>
          <w:szCs w:val="22"/>
        </w:rPr>
        <w:t xml:space="preserve"> </w:t>
      </w:r>
      <w:r w:rsidR="00221774" w:rsidRPr="00045DB0">
        <w:rPr>
          <w:rFonts w:asciiTheme="minorHAnsi" w:hAnsiTheme="minorHAnsi"/>
          <w:i/>
          <w:color w:val="auto"/>
          <w:sz w:val="22"/>
          <w:szCs w:val="22"/>
        </w:rPr>
        <w:t>“</w:t>
      </w:r>
      <w:r w:rsidR="00407FE4" w:rsidRPr="00045DB0">
        <w:rPr>
          <w:rFonts w:asciiTheme="minorHAnsi" w:hAnsiTheme="minorHAnsi"/>
          <w:i/>
          <w:color w:val="auto"/>
          <w:sz w:val="22"/>
          <w:szCs w:val="22"/>
        </w:rPr>
        <w:t>The ABC will notify specified task employees of their right to request conversion under this clause in writing at the following times:</w:t>
      </w:r>
    </w:p>
    <w:p w14:paraId="4F05DA47" w14:textId="52F5CE68" w:rsidR="00407FE4" w:rsidRPr="00164DCA" w:rsidRDefault="00407FE4" w:rsidP="00407FE4">
      <w:pPr>
        <w:pStyle w:val="Default"/>
        <w:rPr>
          <w:rFonts w:asciiTheme="minorHAnsi" w:hAnsiTheme="minorHAnsi"/>
          <w:b/>
          <w:i/>
          <w:color w:val="C0504D" w:themeColor="accent2"/>
          <w:sz w:val="22"/>
          <w:szCs w:val="22"/>
        </w:rPr>
      </w:pPr>
      <w:r w:rsidRPr="00164DCA">
        <w:rPr>
          <w:rFonts w:asciiTheme="minorHAnsi" w:hAnsiTheme="minorHAnsi"/>
          <w:b/>
          <w:i/>
          <w:color w:val="C0504D" w:themeColor="accent2"/>
          <w:sz w:val="22"/>
          <w:szCs w:val="22"/>
        </w:rPr>
        <w:t xml:space="preserve"> </w:t>
      </w:r>
    </w:p>
    <w:p w14:paraId="0BC870B4" w14:textId="2F22F0B1" w:rsidR="007E71F2" w:rsidRPr="0098487F" w:rsidRDefault="00407FE4" w:rsidP="0098487F">
      <w:pPr>
        <w:pStyle w:val="Default"/>
        <w:numPr>
          <w:ilvl w:val="0"/>
          <w:numId w:val="7"/>
        </w:numPr>
        <w:rPr>
          <w:rFonts w:asciiTheme="minorHAnsi" w:hAnsiTheme="minorHAnsi"/>
          <w:i/>
          <w:color w:val="auto"/>
          <w:sz w:val="22"/>
          <w:szCs w:val="22"/>
        </w:rPr>
      </w:pPr>
      <w:r w:rsidRPr="0098487F">
        <w:rPr>
          <w:rFonts w:asciiTheme="minorHAnsi" w:hAnsiTheme="minorHAnsi"/>
          <w:i/>
          <w:color w:val="auto"/>
          <w:sz w:val="22"/>
          <w:szCs w:val="22"/>
        </w:rPr>
        <w:lastRenderedPageBreak/>
        <w:t xml:space="preserve">for a specified task employee whose first engagement is after the commencement of this Agreement, in their </w:t>
      </w:r>
      <w:r w:rsidR="00F52C35" w:rsidRPr="0098487F">
        <w:rPr>
          <w:rFonts w:asciiTheme="minorHAnsi" w:hAnsiTheme="minorHAnsi"/>
          <w:i/>
          <w:color w:val="auto"/>
          <w:sz w:val="22"/>
          <w:szCs w:val="22"/>
        </w:rPr>
        <w:t xml:space="preserve">contract </w:t>
      </w:r>
      <w:r w:rsidRPr="0098487F">
        <w:rPr>
          <w:rFonts w:asciiTheme="minorHAnsi" w:hAnsiTheme="minorHAnsi"/>
          <w:i/>
          <w:color w:val="auto"/>
          <w:sz w:val="22"/>
          <w:szCs w:val="22"/>
        </w:rPr>
        <w:t>for the specified task employment; and</w:t>
      </w:r>
    </w:p>
    <w:p w14:paraId="2A23804F" w14:textId="77777777" w:rsidR="007E71F2" w:rsidRPr="0098487F" w:rsidRDefault="007E71F2" w:rsidP="007E71F2">
      <w:pPr>
        <w:pStyle w:val="Default"/>
        <w:ind w:left="720"/>
        <w:rPr>
          <w:rFonts w:asciiTheme="minorHAnsi" w:hAnsiTheme="minorHAnsi"/>
          <w:i/>
          <w:color w:val="auto"/>
          <w:sz w:val="22"/>
          <w:szCs w:val="22"/>
        </w:rPr>
      </w:pPr>
    </w:p>
    <w:p w14:paraId="26DFB738" w14:textId="57915C97" w:rsidR="00F52C35" w:rsidRPr="0098487F" w:rsidRDefault="00407FE4" w:rsidP="0098487F">
      <w:pPr>
        <w:pStyle w:val="Default"/>
        <w:numPr>
          <w:ilvl w:val="0"/>
          <w:numId w:val="7"/>
        </w:numPr>
        <w:rPr>
          <w:rFonts w:asciiTheme="minorHAnsi" w:hAnsiTheme="minorHAnsi"/>
          <w:i/>
          <w:color w:val="auto"/>
          <w:sz w:val="22"/>
          <w:szCs w:val="22"/>
        </w:rPr>
      </w:pPr>
      <w:r w:rsidRPr="0098487F">
        <w:rPr>
          <w:rFonts w:asciiTheme="minorHAnsi" w:hAnsiTheme="minorHAnsi"/>
          <w:i/>
          <w:color w:val="auto"/>
          <w:sz w:val="22"/>
          <w:szCs w:val="22"/>
        </w:rPr>
        <w:t xml:space="preserve">for a </w:t>
      </w:r>
      <w:r w:rsidR="00F52C35" w:rsidRPr="0098487F">
        <w:rPr>
          <w:rFonts w:asciiTheme="minorHAnsi" w:hAnsiTheme="minorHAnsi"/>
          <w:i/>
          <w:color w:val="auto"/>
          <w:sz w:val="22"/>
          <w:szCs w:val="22"/>
        </w:rPr>
        <w:t xml:space="preserve">specified task employee who is already engaged on </w:t>
      </w:r>
      <w:r w:rsidRPr="0098487F">
        <w:rPr>
          <w:rFonts w:asciiTheme="minorHAnsi" w:hAnsiTheme="minorHAnsi"/>
          <w:i/>
          <w:color w:val="auto"/>
          <w:sz w:val="22"/>
          <w:szCs w:val="22"/>
        </w:rPr>
        <w:t xml:space="preserve">a </w:t>
      </w:r>
      <w:r w:rsidR="007E71F2" w:rsidRPr="0098487F">
        <w:rPr>
          <w:rFonts w:asciiTheme="minorHAnsi" w:hAnsiTheme="minorHAnsi"/>
          <w:i/>
          <w:color w:val="auto"/>
          <w:sz w:val="22"/>
          <w:szCs w:val="22"/>
        </w:rPr>
        <w:t xml:space="preserve">specified task </w:t>
      </w:r>
      <w:r w:rsidR="00F52C35" w:rsidRPr="0098487F">
        <w:rPr>
          <w:rFonts w:asciiTheme="minorHAnsi" w:hAnsiTheme="minorHAnsi"/>
          <w:i/>
          <w:color w:val="auto"/>
          <w:sz w:val="22"/>
          <w:szCs w:val="22"/>
        </w:rPr>
        <w:t xml:space="preserve">contract </w:t>
      </w:r>
      <w:r w:rsidRPr="0098487F">
        <w:rPr>
          <w:rFonts w:asciiTheme="minorHAnsi" w:hAnsiTheme="minorHAnsi"/>
          <w:i/>
          <w:color w:val="auto"/>
          <w:sz w:val="22"/>
          <w:szCs w:val="22"/>
        </w:rPr>
        <w:t xml:space="preserve">at </w:t>
      </w:r>
      <w:r w:rsidR="00F52C35" w:rsidRPr="0098487F">
        <w:rPr>
          <w:rFonts w:asciiTheme="minorHAnsi" w:hAnsiTheme="minorHAnsi"/>
          <w:i/>
          <w:color w:val="auto"/>
          <w:sz w:val="22"/>
          <w:szCs w:val="22"/>
        </w:rPr>
        <w:t>the commencement of this Agreement, within two weeks of the commencement date.</w:t>
      </w:r>
      <w:r w:rsidR="00221774" w:rsidRPr="0098487F">
        <w:rPr>
          <w:rFonts w:asciiTheme="minorHAnsi" w:hAnsiTheme="minorHAnsi"/>
          <w:i/>
          <w:color w:val="auto"/>
          <w:sz w:val="22"/>
          <w:szCs w:val="22"/>
        </w:rPr>
        <w:t>”</w:t>
      </w:r>
    </w:p>
    <w:p w14:paraId="62B1A827" w14:textId="0F29F7B4" w:rsidR="00D5536E" w:rsidRPr="0098487F" w:rsidRDefault="00D5536E" w:rsidP="002B5BB8">
      <w:pPr>
        <w:pStyle w:val="Default"/>
        <w:rPr>
          <w:rFonts w:asciiTheme="minorHAnsi" w:hAnsiTheme="minorHAnsi"/>
          <w:color w:val="auto"/>
          <w:sz w:val="22"/>
          <w:szCs w:val="22"/>
        </w:rPr>
      </w:pPr>
    </w:p>
    <w:p w14:paraId="5810780D" w14:textId="77777777" w:rsidR="00045DB0" w:rsidRPr="00164DCA" w:rsidRDefault="00045DB0" w:rsidP="002B5BB8">
      <w:pPr>
        <w:pStyle w:val="Default"/>
        <w:rPr>
          <w:rFonts w:asciiTheme="minorHAnsi" w:hAnsiTheme="minorHAnsi"/>
          <w:color w:val="auto"/>
          <w:sz w:val="22"/>
          <w:szCs w:val="22"/>
        </w:rPr>
      </w:pPr>
    </w:p>
    <w:p w14:paraId="390DFB35" w14:textId="55308F72" w:rsidR="00D5536E" w:rsidRPr="00164DCA" w:rsidRDefault="00D5536E" w:rsidP="00400B19">
      <w:pPr>
        <w:pStyle w:val="ListParagraph"/>
        <w:numPr>
          <w:ilvl w:val="0"/>
          <w:numId w:val="6"/>
        </w:numPr>
        <w:shd w:val="clear" w:color="auto" w:fill="D9D9D9" w:themeFill="background1" w:themeFillShade="D9"/>
        <w:rPr>
          <w:b/>
          <w:sz w:val="26"/>
          <w:szCs w:val="26"/>
        </w:rPr>
      </w:pPr>
      <w:r w:rsidRPr="00164DCA">
        <w:rPr>
          <w:b/>
          <w:sz w:val="26"/>
          <w:szCs w:val="26"/>
        </w:rPr>
        <w:t>Fixed Term</w:t>
      </w:r>
    </w:p>
    <w:p w14:paraId="686AE722" w14:textId="77777777" w:rsidR="00D5536E" w:rsidRPr="00164DCA" w:rsidRDefault="00D5536E" w:rsidP="00D5536E">
      <w:pPr>
        <w:rPr>
          <w:b/>
        </w:rPr>
      </w:pPr>
    </w:p>
    <w:p w14:paraId="40FCBB52" w14:textId="77777777" w:rsidR="0098487F" w:rsidRDefault="00D5536E" w:rsidP="00164DCA">
      <w:pPr>
        <w:ind w:left="0" w:firstLine="0"/>
        <w:rPr>
          <w:b/>
        </w:rPr>
      </w:pPr>
      <w:r w:rsidRPr="00164DCA">
        <w:rPr>
          <w:b/>
        </w:rPr>
        <w:t xml:space="preserve">Current Clause 14.4.4: </w:t>
      </w:r>
    </w:p>
    <w:p w14:paraId="60C7FB61" w14:textId="6B76A09E" w:rsidR="00D5536E" w:rsidRPr="00164DCA" w:rsidRDefault="00D5536E" w:rsidP="00164DCA">
      <w:pPr>
        <w:ind w:left="0" w:firstLine="0"/>
        <w:rPr>
          <w:i/>
        </w:rPr>
      </w:pPr>
      <w:r w:rsidRPr="00164DCA">
        <w:rPr>
          <w:i/>
        </w:rPr>
        <w:t>“An employee</w:t>
      </w:r>
      <w:r w:rsidR="00164DCA" w:rsidRPr="00164DCA">
        <w:rPr>
          <w:i/>
        </w:rPr>
        <w:t xml:space="preserve"> </w:t>
      </w:r>
      <w:r w:rsidRPr="00164DCA">
        <w:rPr>
          <w:i/>
        </w:rPr>
        <w:t xml:space="preserve">who has been employed on two or more consecutive </w:t>
      </w:r>
      <w:r w:rsidR="00164DCA" w:rsidRPr="00164DCA">
        <w:rPr>
          <w:i/>
        </w:rPr>
        <w:t xml:space="preserve">fixed term </w:t>
      </w:r>
      <w:r w:rsidRPr="00164DCA">
        <w:rPr>
          <w:i/>
        </w:rPr>
        <w:t xml:space="preserve">engagements, may request in writing that the ABC consider whether their employment should be converted to ongoing employment. Where it is demonstrated that the </w:t>
      </w:r>
      <w:r w:rsidR="00164DCA" w:rsidRPr="00164DCA">
        <w:rPr>
          <w:i/>
        </w:rPr>
        <w:t xml:space="preserve">fixed term </w:t>
      </w:r>
      <w:r w:rsidRPr="00164DCA">
        <w:rPr>
          <w:i/>
        </w:rPr>
        <w:t xml:space="preserve">employment is not consistent with relevant case law considering the nature of </w:t>
      </w:r>
      <w:r w:rsidR="00164DCA" w:rsidRPr="00164DCA">
        <w:rPr>
          <w:i/>
        </w:rPr>
        <w:t>fixed term e</w:t>
      </w:r>
      <w:r w:rsidRPr="00164DCA">
        <w:rPr>
          <w:i/>
        </w:rPr>
        <w:t>mployment, the ABC will offer to convert the employee to ongoing employment.”</w:t>
      </w:r>
    </w:p>
    <w:p w14:paraId="73039AC4" w14:textId="77777777" w:rsidR="00D5536E" w:rsidRPr="00164DCA" w:rsidRDefault="00D5536E" w:rsidP="00D5536E"/>
    <w:p w14:paraId="3474CD54" w14:textId="79869F3E" w:rsidR="00D5536E" w:rsidRDefault="00D5536E" w:rsidP="00D5536E">
      <w:pPr>
        <w:rPr>
          <w:b/>
        </w:rPr>
      </w:pPr>
      <w:r w:rsidRPr="00164DCA">
        <w:rPr>
          <w:b/>
        </w:rPr>
        <w:t>Proposed Clause</w:t>
      </w:r>
      <w:r w:rsidR="0098487F">
        <w:rPr>
          <w:b/>
        </w:rPr>
        <w:t xml:space="preserve"> added as 14.4.4 (a)</w:t>
      </w:r>
      <w:r w:rsidRPr="00164DCA">
        <w:rPr>
          <w:b/>
        </w:rPr>
        <w:t>:</w:t>
      </w:r>
    </w:p>
    <w:p w14:paraId="3F9A29A0" w14:textId="4B743DC0" w:rsidR="0098487F" w:rsidRPr="00045DB0" w:rsidRDefault="0098487F" w:rsidP="0098487F">
      <w:pPr>
        <w:ind w:left="0" w:firstLine="0"/>
        <w:rPr>
          <w:i/>
        </w:rPr>
      </w:pPr>
      <w:r w:rsidRPr="00045DB0">
        <w:rPr>
          <w:i/>
        </w:rPr>
        <w:t xml:space="preserve">“When the ABC decides to not convert the employee to ongoing employment, it will provide the employee with reasons in writing within 14 days of the date of its decision”. </w:t>
      </w:r>
    </w:p>
    <w:p w14:paraId="183BAC27" w14:textId="77777777" w:rsidR="0098487F" w:rsidRPr="00045DB0" w:rsidRDefault="0098487F" w:rsidP="0098487F">
      <w:pPr>
        <w:ind w:left="0" w:firstLine="0"/>
        <w:rPr>
          <w:i/>
          <w:color w:val="C0504D" w:themeColor="accent2"/>
        </w:rPr>
      </w:pPr>
    </w:p>
    <w:p w14:paraId="44482384" w14:textId="77777777" w:rsidR="0098487F" w:rsidRPr="00761E53" w:rsidRDefault="0098487F" w:rsidP="0098487F">
      <w:pPr>
        <w:ind w:left="0" w:firstLine="0"/>
        <w:rPr>
          <w:b/>
        </w:rPr>
      </w:pPr>
      <w:r w:rsidRPr="00761E53">
        <w:rPr>
          <w:b/>
        </w:rPr>
        <w:t>Proposed Clause added as 14.3.3 (b):</w:t>
      </w:r>
    </w:p>
    <w:p w14:paraId="1E876682" w14:textId="48FC17DF" w:rsidR="0098487F" w:rsidRPr="00045DB0" w:rsidRDefault="0098487F" w:rsidP="0098487F">
      <w:pPr>
        <w:ind w:left="0" w:firstLine="0"/>
        <w:rPr>
          <w:i/>
        </w:rPr>
      </w:pPr>
      <w:r w:rsidRPr="00045DB0">
        <w:rPr>
          <w:i/>
        </w:rPr>
        <w:t xml:space="preserve"> “A </w:t>
      </w:r>
      <w:r>
        <w:rPr>
          <w:i/>
        </w:rPr>
        <w:t xml:space="preserve">fixed term </w:t>
      </w:r>
      <w:r w:rsidRPr="00045DB0">
        <w:rPr>
          <w:i/>
        </w:rPr>
        <w:t>employee must not be engaged and re-engaged (which includes a refusal to re-engage), or have their hours reduced or varied, in order to avoid any right or obligation under this clause”.</w:t>
      </w:r>
    </w:p>
    <w:p w14:paraId="17BE3CF7" w14:textId="77777777" w:rsidR="00D5536E" w:rsidRPr="00164DCA" w:rsidRDefault="00D5536E" w:rsidP="00D5536E">
      <w:pPr>
        <w:pStyle w:val="ListParagraph"/>
        <w:ind w:firstLine="0"/>
      </w:pPr>
    </w:p>
    <w:p w14:paraId="6291D4DF" w14:textId="77777777" w:rsidR="0098487F" w:rsidRPr="00045DB0" w:rsidRDefault="0098487F" w:rsidP="0098487F">
      <w:pPr>
        <w:pStyle w:val="Default"/>
        <w:rPr>
          <w:rFonts w:asciiTheme="minorHAnsi" w:hAnsiTheme="minorHAnsi"/>
          <w:b/>
          <w:color w:val="auto"/>
          <w:sz w:val="22"/>
          <w:szCs w:val="22"/>
        </w:rPr>
      </w:pPr>
      <w:r w:rsidRPr="00045DB0">
        <w:rPr>
          <w:rFonts w:asciiTheme="minorHAnsi" w:hAnsiTheme="minorHAnsi"/>
          <w:b/>
          <w:color w:val="auto"/>
          <w:sz w:val="22"/>
          <w:szCs w:val="22"/>
        </w:rPr>
        <w:t>Proposed Clause added as 14.3.3 (c):</w:t>
      </w:r>
    </w:p>
    <w:p w14:paraId="0FA05EA8" w14:textId="77777777" w:rsidR="0098487F" w:rsidRPr="00045DB0" w:rsidRDefault="0098487F" w:rsidP="0098487F">
      <w:pPr>
        <w:pStyle w:val="Default"/>
        <w:rPr>
          <w:rFonts w:asciiTheme="minorHAnsi" w:hAnsiTheme="minorHAnsi"/>
          <w:i/>
          <w:color w:val="auto"/>
          <w:sz w:val="22"/>
          <w:szCs w:val="22"/>
        </w:rPr>
      </w:pPr>
      <w:r w:rsidRPr="00045DB0">
        <w:rPr>
          <w:rFonts w:asciiTheme="minorHAnsi" w:hAnsiTheme="minorHAnsi"/>
          <w:i/>
          <w:color w:val="auto"/>
          <w:sz w:val="22"/>
          <w:szCs w:val="22"/>
        </w:rPr>
        <w:t xml:space="preserve"> “The ABC will notify specified task employees of their right to request conversion under this clause in writing at the following times:</w:t>
      </w:r>
    </w:p>
    <w:p w14:paraId="138D99CC" w14:textId="165C1F3C" w:rsidR="00D5536E" w:rsidRPr="00400B19" w:rsidRDefault="00D5536E" w:rsidP="00D5536E">
      <w:pPr>
        <w:pStyle w:val="Default"/>
        <w:rPr>
          <w:rFonts w:asciiTheme="minorHAnsi" w:hAnsiTheme="minorHAnsi"/>
          <w:b/>
          <w:i/>
          <w:color w:val="C0504D" w:themeColor="accent2"/>
          <w:sz w:val="22"/>
          <w:szCs w:val="22"/>
        </w:rPr>
      </w:pPr>
    </w:p>
    <w:p w14:paraId="3A51D5A4" w14:textId="6879AECF" w:rsidR="00D5536E" w:rsidRPr="0098487F" w:rsidRDefault="00D5536E" w:rsidP="00D5536E">
      <w:pPr>
        <w:pStyle w:val="Default"/>
        <w:numPr>
          <w:ilvl w:val="0"/>
          <w:numId w:val="5"/>
        </w:numPr>
        <w:rPr>
          <w:rFonts w:asciiTheme="minorHAnsi" w:hAnsiTheme="minorHAnsi"/>
          <w:i/>
          <w:color w:val="auto"/>
          <w:sz w:val="22"/>
          <w:szCs w:val="22"/>
        </w:rPr>
      </w:pPr>
      <w:r w:rsidRPr="0098487F">
        <w:rPr>
          <w:rFonts w:asciiTheme="minorHAnsi" w:hAnsiTheme="minorHAnsi"/>
          <w:i/>
          <w:color w:val="auto"/>
          <w:sz w:val="22"/>
          <w:szCs w:val="22"/>
        </w:rPr>
        <w:t xml:space="preserve">for a </w:t>
      </w:r>
      <w:r w:rsidR="00B12156" w:rsidRPr="0098487F">
        <w:rPr>
          <w:rFonts w:asciiTheme="minorHAnsi" w:hAnsiTheme="minorHAnsi"/>
          <w:i/>
          <w:color w:val="auto"/>
          <w:sz w:val="22"/>
          <w:szCs w:val="22"/>
        </w:rPr>
        <w:t>fixed term</w:t>
      </w:r>
      <w:r w:rsidRPr="0098487F">
        <w:rPr>
          <w:rFonts w:asciiTheme="minorHAnsi" w:hAnsiTheme="minorHAnsi"/>
          <w:i/>
          <w:color w:val="auto"/>
          <w:sz w:val="22"/>
          <w:szCs w:val="22"/>
        </w:rPr>
        <w:t xml:space="preserve"> employee whose first engagement is after the commencement of this Agreement, in their contract for the </w:t>
      </w:r>
      <w:r w:rsidR="0098487F" w:rsidRPr="0098487F">
        <w:rPr>
          <w:rFonts w:asciiTheme="minorHAnsi" w:hAnsiTheme="minorHAnsi"/>
          <w:i/>
          <w:color w:val="auto"/>
          <w:sz w:val="22"/>
          <w:szCs w:val="22"/>
        </w:rPr>
        <w:t xml:space="preserve">fixed term </w:t>
      </w:r>
      <w:r w:rsidRPr="0098487F">
        <w:rPr>
          <w:rFonts w:asciiTheme="minorHAnsi" w:hAnsiTheme="minorHAnsi"/>
          <w:i/>
          <w:color w:val="auto"/>
          <w:sz w:val="22"/>
          <w:szCs w:val="22"/>
        </w:rPr>
        <w:t>employment; and</w:t>
      </w:r>
    </w:p>
    <w:p w14:paraId="707DC6B2" w14:textId="77777777" w:rsidR="00D5536E" w:rsidRPr="0098487F" w:rsidRDefault="00D5536E" w:rsidP="00D5536E">
      <w:pPr>
        <w:pStyle w:val="Default"/>
        <w:ind w:left="720"/>
        <w:rPr>
          <w:rFonts w:asciiTheme="minorHAnsi" w:hAnsiTheme="minorHAnsi"/>
          <w:i/>
          <w:color w:val="auto"/>
          <w:sz w:val="22"/>
          <w:szCs w:val="22"/>
        </w:rPr>
      </w:pPr>
    </w:p>
    <w:p w14:paraId="243C9DDE" w14:textId="27A23D92" w:rsidR="00D5536E" w:rsidRPr="0098487F" w:rsidRDefault="00D5536E" w:rsidP="00D5536E">
      <w:pPr>
        <w:pStyle w:val="Default"/>
        <w:numPr>
          <w:ilvl w:val="0"/>
          <w:numId w:val="5"/>
        </w:numPr>
        <w:rPr>
          <w:rFonts w:asciiTheme="minorHAnsi" w:hAnsiTheme="minorHAnsi"/>
          <w:i/>
          <w:color w:val="auto"/>
          <w:sz w:val="22"/>
          <w:szCs w:val="22"/>
        </w:rPr>
      </w:pPr>
      <w:r w:rsidRPr="0098487F">
        <w:rPr>
          <w:rFonts w:asciiTheme="minorHAnsi" w:hAnsiTheme="minorHAnsi"/>
          <w:i/>
          <w:color w:val="auto"/>
          <w:sz w:val="22"/>
          <w:szCs w:val="22"/>
        </w:rPr>
        <w:t xml:space="preserve">for a </w:t>
      </w:r>
      <w:r w:rsidR="00B12156" w:rsidRPr="0098487F">
        <w:rPr>
          <w:rFonts w:asciiTheme="minorHAnsi" w:hAnsiTheme="minorHAnsi"/>
          <w:i/>
          <w:color w:val="auto"/>
          <w:sz w:val="22"/>
          <w:szCs w:val="22"/>
        </w:rPr>
        <w:t xml:space="preserve">fixed term </w:t>
      </w:r>
      <w:r w:rsidRPr="0098487F">
        <w:rPr>
          <w:rFonts w:asciiTheme="minorHAnsi" w:hAnsiTheme="minorHAnsi"/>
          <w:i/>
          <w:color w:val="auto"/>
          <w:sz w:val="22"/>
          <w:szCs w:val="22"/>
        </w:rPr>
        <w:t xml:space="preserve">employee who is already engaged on a </w:t>
      </w:r>
      <w:r w:rsidR="0098487F" w:rsidRPr="0098487F">
        <w:rPr>
          <w:rFonts w:asciiTheme="minorHAnsi" w:hAnsiTheme="minorHAnsi"/>
          <w:i/>
          <w:color w:val="auto"/>
          <w:sz w:val="22"/>
          <w:szCs w:val="22"/>
        </w:rPr>
        <w:t xml:space="preserve">fixed term </w:t>
      </w:r>
      <w:r w:rsidRPr="0098487F">
        <w:rPr>
          <w:rFonts w:asciiTheme="minorHAnsi" w:hAnsiTheme="minorHAnsi"/>
          <w:i/>
          <w:color w:val="auto"/>
          <w:sz w:val="22"/>
          <w:szCs w:val="22"/>
        </w:rPr>
        <w:t>contract at the commencement of this Agreement, within two weeks of the commencement date.”</w:t>
      </w:r>
    </w:p>
    <w:p w14:paraId="44810339" w14:textId="4782C90E" w:rsidR="00D5536E" w:rsidRPr="0098487F" w:rsidRDefault="00D5536E" w:rsidP="00D5536E">
      <w:pPr>
        <w:pStyle w:val="Default"/>
        <w:rPr>
          <w:rFonts w:asciiTheme="minorHAnsi" w:hAnsiTheme="minorHAnsi"/>
          <w:color w:val="auto"/>
          <w:sz w:val="22"/>
          <w:szCs w:val="22"/>
        </w:rPr>
      </w:pPr>
    </w:p>
    <w:p w14:paraId="7F680436" w14:textId="77777777" w:rsidR="005C148D" w:rsidRPr="00164DCA" w:rsidRDefault="005C148D" w:rsidP="00D5536E">
      <w:pPr>
        <w:pStyle w:val="Default"/>
        <w:rPr>
          <w:rFonts w:asciiTheme="minorHAnsi" w:hAnsiTheme="minorHAnsi"/>
          <w:color w:val="auto"/>
          <w:sz w:val="22"/>
          <w:szCs w:val="22"/>
        </w:rPr>
      </w:pPr>
    </w:p>
    <w:p w14:paraId="138FD5B0" w14:textId="50385075" w:rsidR="002B5BB8" w:rsidRPr="00164DCA" w:rsidRDefault="002B5BB8" w:rsidP="00400B19">
      <w:pPr>
        <w:pStyle w:val="ListParagraph"/>
        <w:numPr>
          <w:ilvl w:val="0"/>
          <w:numId w:val="6"/>
        </w:numPr>
        <w:shd w:val="clear" w:color="auto" w:fill="D9D9D9" w:themeFill="background1" w:themeFillShade="D9"/>
        <w:rPr>
          <w:b/>
          <w:sz w:val="28"/>
          <w:szCs w:val="28"/>
        </w:rPr>
      </w:pPr>
      <w:r w:rsidRPr="00164DCA">
        <w:rPr>
          <w:b/>
          <w:sz w:val="28"/>
          <w:szCs w:val="28"/>
        </w:rPr>
        <w:t>Run of Show</w:t>
      </w:r>
    </w:p>
    <w:p w14:paraId="0E37F3C7" w14:textId="3E9FFD8A" w:rsidR="002B5BB8" w:rsidRPr="00164DCA" w:rsidRDefault="002B5BB8" w:rsidP="002B5BB8">
      <w:pPr>
        <w:pStyle w:val="Default"/>
        <w:rPr>
          <w:rFonts w:asciiTheme="minorHAnsi" w:hAnsiTheme="minorHAnsi"/>
          <w:color w:val="auto"/>
          <w:sz w:val="22"/>
          <w:szCs w:val="22"/>
        </w:rPr>
      </w:pPr>
    </w:p>
    <w:p w14:paraId="44920D46" w14:textId="77777777" w:rsidR="000A4260" w:rsidRDefault="000A4260" w:rsidP="002B5BB8">
      <w:pPr>
        <w:pStyle w:val="Default"/>
        <w:rPr>
          <w:rFonts w:asciiTheme="minorHAnsi" w:hAnsiTheme="minorHAnsi"/>
          <w:b/>
          <w:color w:val="auto"/>
          <w:sz w:val="22"/>
          <w:szCs w:val="22"/>
        </w:rPr>
      </w:pPr>
    </w:p>
    <w:p w14:paraId="6B7D4A36" w14:textId="222019FF" w:rsidR="00221774" w:rsidRPr="00164DCA" w:rsidRDefault="00221774" w:rsidP="002B5BB8">
      <w:pPr>
        <w:pStyle w:val="Default"/>
        <w:rPr>
          <w:rFonts w:asciiTheme="minorHAnsi" w:hAnsiTheme="minorHAnsi"/>
          <w:color w:val="auto"/>
          <w:sz w:val="22"/>
          <w:szCs w:val="22"/>
        </w:rPr>
      </w:pPr>
      <w:r w:rsidRPr="000A4260">
        <w:rPr>
          <w:rFonts w:asciiTheme="minorHAnsi" w:hAnsiTheme="minorHAnsi"/>
          <w:b/>
          <w:color w:val="auto"/>
          <w:sz w:val="22"/>
          <w:szCs w:val="22"/>
        </w:rPr>
        <w:t>Proposed Clause</w:t>
      </w:r>
      <w:r w:rsidR="000A4260" w:rsidRPr="000A4260">
        <w:rPr>
          <w:rFonts w:asciiTheme="minorHAnsi" w:hAnsiTheme="minorHAnsi"/>
          <w:b/>
          <w:color w:val="auto"/>
          <w:sz w:val="22"/>
          <w:szCs w:val="22"/>
        </w:rPr>
        <w:t xml:space="preserve"> to be added as </w:t>
      </w:r>
      <w:r w:rsidR="000A4260" w:rsidRPr="000A4260">
        <w:rPr>
          <w:rFonts w:asciiTheme="minorHAnsi" w:hAnsiTheme="minorHAnsi"/>
          <w:b/>
          <w:color w:val="auto"/>
          <w:sz w:val="22"/>
          <w:szCs w:val="22"/>
          <w:highlight w:val="yellow"/>
        </w:rPr>
        <w:t>xxxx</w:t>
      </w:r>
      <w:r w:rsidRPr="00164DCA">
        <w:rPr>
          <w:rFonts w:asciiTheme="minorHAnsi" w:hAnsiTheme="minorHAnsi"/>
          <w:color w:val="auto"/>
          <w:sz w:val="22"/>
          <w:szCs w:val="22"/>
        </w:rPr>
        <w:t>:</w:t>
      </w:r>
    </w:p>
    <w:p w14:paraId="193DCB30" w14:textId="77777777" w:rsidR="00400B19" w:rsidRDefault="00400B19" w:rsidP="00221774">
      <w:pPr>
        <w:pStyle w:val="Default"/>
        <w:rPr>
          <w:rFonts w:asciiTheme="minorHAnsi" w:hAnsiTheme="minorHAnsi"/>
          <w:b/>
          <w:i/>
          <w:color w:val="auto"/>
          <w:sz w:val="22"/>
          <w:szCs w:val="22"/>
        </w:rPr>
      </w:pPr>
    </w:p>
    <w:p w14:paraId="59260155" w14:textId="75BA1F78" w:rsidR="00221774" w:rsidRPr="000A4260" w:rsidRDefault="00221774" w:rsidP="00221774">
      <w:pPr>
        <w:pStyle w:val="Default"/>
        <w:rPr>
          <w:rFonts w:asciiTheme="minorHAnsi" w:hAnsiTheme="minorHAnsi"/>
          <w:i/>
          <w:color w:val="auto"/>
          <w:sz w:val="22"/>
          <w:szCs w:val="22"/>
        </w:rPr>
      </w:pPr>
      <w:r w:rsidRPr="000A4260">
        <w:rPr>
          <w:rFonts w:asciiTheme="minorHAnsi" w:hAnsiTheme="minorHAnsi"/>
          <w:i/>
          <w:color w:val="auto"/>
          <w:sz w:val="22"/>
          <w:szCs w:val="22"/>
        </w:rPr>
        <w:t xml:space="preserve">“The ABC will notify Run of Show employees of their right to convert to ongoing employment </w:t>
      </w:r>
      <w:r w:rsidR="00D5536E" w:rsidRPr="000A4260">
        <w:rPr>
          <w:rFonts w:asciiTheme="minorHAnsi" w:hAnsiTheme="minorHAnsi"/>
          <w:i/>
          <w:color w:val="auto"/>
          <w:sz w:val="22"/>
          <w:szCs w:val="22"/>
        </w:rPr>
        <w:t>and</w:t>
      </w:r>
      <w:r w:rsidR="00400B19" w:rsidRPr="000A4260">
        <w:rPr>
          <w:rFonts w:asciiTheme="minorHAnsi" w:hAnsiTheme="minorHAnsi"/>
          <w:i/>
          <w:color w:val="auto"/>
          <w:sz w:val="22"/>
          <w:szCs w:val="22"/>
        </w:rPr>
        <w:t xml:space="preserve"> to potentially </w:t>
      </w:r>
      <w:r w:rsidR="00D5536E" w:rsidRPr="000A4260">
        <w:rPr>
          <w:rFonts w:asciiTheme="minorHAnsi" w:hAnsiTheme="minorHAnsi"/>
          <w:i/>
          <w:color w:val="auto"/>
          <w:sz w:val="22"/>
          <w:szCs w:val="22"/>
        </w:rPr>
        <w:t xml:space="preserve">receive a severance payment </w:t>
      </w:r>
      <w:r w:rsidRPr="000A4260">
        <w:rPr>
          <w:rFonts w:asciiTheme="minorHAnsi" w:hAnsiTheme="minorHAnsi"/>
          <w:i/>
          <w:color w:val="auto"/>
          <w:sz w:val="22"/>
          <w:szCs w:val="22"/>
        </w:rPr>
        <w:t>under this clause in writing at the following times:</w:t>
      </w:r>
    </w:p>
    <w:p w14:paraId="220E0B79" w14:textId="77777777" w:rsidR="00221774" w:rsidRPr="000A4260" w:rsidRDefault="00221774" w:rsidP="00221774">
      <w:pPr>
        <w:pStyle w:val="Default"/>
        <w:rPr>
          <w:rFonts w:asciiTheme="minorHAnsi" w:hAnsiTheme="minorHAnsi"/>
          <w:i/>
          <w:color w:val="auto"/>
          <w:sz w:val="22"/>
          <w:szCs w:val="22"/>
        </w:rPr>
      </w:pPr>
      <w:r w:rsidRPr="000A4260">
        <w:rPr>
          <w:rFonts w:asciiTheme="minorHAnsi" w:hAnsiTheme="minorHAnsi"/>
          <w:i/>
          <w:color w:val="auto"/>
          <w:sz w:val="22"/>
          <w:szCs w:val="22"/>
        </w:rPr>
        <w:t xml:space="preserve"> </w:t>
      </w:r>
    </w:p>
    <w:p w14:paraId="0FDAE286" w14:textId="213B031C" w:rsidR="00221774" w:rsidRPr="000A4260" w:rsidRDefault="00221774" w:rsidP="000A4260">
      <w:pPr>
        <w:pStyle w:val="Default"/>
        <w:numPr>
          <w:ilvl w:val="0"/>
          <w:numId w:val="8"/>
        </w:numPr>
        <w:rPr>
          <w:rFonts w:asciiTheme="minorHAnsi" w:hAnsiTheme="minorHAnsi"/>
          <w:i/>
          <w:color w:val="auto"/>
          <w:sz w:val="22"/>
          <w:szCs w:val="22"/>
        </w:rPr>
      </w:pPr>
      <w:r w:rsidRPr="000A4260">
        <w:rPr>
          <w:rFonts w:asciiTheme="minorHAnsi" w:hAnsiTheme="minorHAnsi"/>
          <w:i/>
          <w:color w:val="auto"/>
          <w:sz w:val="22"/>
          <w:szCs w:val="22"/>
        </w:rPr>
        <w:t>for a Run of Show employee whose first engagement is after the commencement of this Agreement</w:t>
      </w:r>
      <w:r w:rsidR="00A6750B" w:rsidRPr="000A4260">
        <w:rPr>
          <w:rFonts w:asciiTheme="minorHAnsi" w:hAnsiTheme="minorHAnsi"/>
          <w:i/>
          <w:color w:val="auto"/>
          <w:sz w:val="22"/>
          <w:szCs w:val="22"/>
        </w:rPr>
        <w:t xml:space="preserve"> - </w:t>
      </w:r>
      <w:r w:rsidRPr="000A4260">
        <w:rPr>
          <w:rFonts w:asciiTheme="minorHAnsi" w:hAnsiTheme="minorHAnsi"/>
          <w:i/>
          <w:color w:val="auto"/>
          <w:sz w:val="22"/>
          <w:szCs w:val="22"/>
        </w:rPr>
        <w:t xml:space="preserve"> in their contract for the Run of Show employment; and</w:t>
      </w:r>
    </w:p>
    <w:p w14:paraId="5B30DFAE" w14:textId="77777777" w:rsidR="00221774" w:rsidRPr="000A4260" w:rsidRDefault="00221774" w:rsidP="00221774">
      <w:pPr>
        <w:pStyle w:val="Default"/>
        <w:ind w:left="720"/>
        <w:rPr>
          <w:rFonts w:asciiTheme="minorHAnsi" w:hAnsiTheme="minorHAnsi"/>
          <w:i/>
          <w:color w:val="auto"/>
          <w:sz w:val="22"/>
          <w:szCs w:val="22"/>
        </w:rPr>
      </w:pPr>
    </w:p>
    <w:p w14:paraId="1398E7F1" w14:textId="77777777" w:rsidR="00B12156" w:rsidRPr="000A4260" w:rsidRDefault="00221774" w:rsidP="000A4260">
      <w:pPr>
        <w:pStyle w:val="Default"/>
        <w:numPr>
          <w:ilvl w:val="0"/>
          <w:numId w:val="8"/>
        </w:numPr>
        <w:rPr>
          <w:rFonts w:asciiTheme="minorHAnsi" w:hAnsiTheme="minorHAnsi"/>
          <w:i/>
          <w:color w:val="auto"/>
          <w:sz w:val="22"/>
          <w:szCs w:val="22"/>
          <w:u w:val="single"/>
        </w:rPr>
      </w:pPr>
      <w:r w:rsidRPr="000A4260">
        <w:rPr>
          <w:rFonts w:asciiTheme="minorHAnsi" w:hAnsiTheme="minorHAnsi"/>
          <w:i/>
          <w:color w:val="auto"/>
          <w:sz w:val="22"/>
          <w:szCs w:val="22"/>
        </w:rPr>
        <w:t>for a Run of Show employee who is already engaged on a Run of Show contract at the commencement of this Agreement</w:t>
      </w:r>
      <w:r w:rsidR="00D5536E" w:rsidRPr="000A4260">
        <w:rPr>
          <w:rFonts w:asciiTheme="minorHAnsi" w:hAnsiTheme="minorHAnsi"/>
          <w:i/>
          <w:color w:val="auto"/>
          <w:sz w:val="22"/>
          <w:szCs w:val="22"/>
        </w:rPr>
        <w:t xml:space="preserve"> – </w:t>
      </w:r>
      <w:r w:rsidR="00B12156" w:rsidRPr="000A4260">
        <w:rPr>
          <w:rFonts w:asciiTheme="minorHAnsi" w:hAnsiTheme="minorHAnsi"/>
          <w:i/>
          <w:color w:val="auto"/>
          <w:sz w:val="22"/>
          <w:szCs w:val="22"/>
        </w:rPr>
        <w:t xml:space="preserve">within two weeks of the commencement date of this Agreement; and </w:t>
      </w:r>
    </w:p>
    <w:p w14:paraId="6C06C012" w14:textId="77777777" w:rsidR="00B12156" w:rsidRPr="000A4260" w:rsidRDefault="00B12156" w:rsidP="00D82901">
      <w:pPr>
        <w:pStyle w:val="ListParagraph"/>
        <w:rPr>
          <w:i/>
          <w:u w:val="single"/>
        </w:rPr>
      </w:pPr>
    </w:p>
    <w:p w14:paraId="43CF6879" w14:textId="14942C81" w:rsidR="00D5536E" w:rsidRPr="000A4260" w:rsidRDefault="00B12156" w:rsidP="000A4260">
      <w:pPr>
        <w:pStyle w:val="Default"/>
        <w:numPr>
          <w:ilvl w:val="0"/>
          <w:numId w:val="8"/>
        </w:numPr>
        <w:rPr>
          <w:rFonts w:asciiTheme="minorHAnsi" w:hAnsiTheme="minorHAnsi"/>
          <w:i/>
          <w:color w:val="auto"/>
          <w:sz w:val="22"/>
          <w:szCs w:val="22"/>
        </w:rPr>
      </w:pPr>
      <w:r w:rsidRPr="000A4260">
        <w:rPr>
          <w:rFonts w:asciiTheme="minorHAnsi" w:hAnsiTheme="minorHAnsi"/>
          <w:i/>
          <w:color w:val="auto"/>
          <w:sz w:val="22"/>
          <w:szCs w:val="22"/>
        </w:rPr>
        <w:t xml:space="preserve">for all Run of Show employees </w:t>
      </w:r>
      <w:r w:rsidR="00A6750B" w:rsidRPr="000A4260">
        <w:rPr>
          <w:rFonts w:asciiTheme="minorHAnsi" w:hAnsiTheme="minorHAnsi"/>
          <w:i/>
          <w:color w:val="auto"/>
          <w:sz w:val="22"/>
          <w:szCs w:val="22"/>
        </w:rPr>
        <w:t>– at the commencement of their fourth consecutive year of service.</w:t>
      </w:r>
      <w:r w:rsidR="00D5536E" w:rsidRPr="000A4260">
        <w:rPr>
          <w:rFonts w:asciiTheme="minorHAnsi" w:hAnsiTheme="minorHAnsi"/>
          <w:i/>
          <w:color w:val="auto"/>
          <w:sz w:val="22"/>
          <w:szCs w:val="22"/>
        </w:rPr>
        <w:t>”</w:t>
      </w:r>
    </w:p>
    <w:p w14:paraId="52F1FFE3" w14:textId="413753F0" w:rsidR="00221774" w:rsidRPr="000A4260" w:rsidRDefault="00221774" w:rsidP="000A4260">
      <w:pPr>
        <w:rPr>
          <w:b/>
          <w:i/>
          <w:color w:val="4F81BD" w:themeColor="accent1"/>
          <w:u w:val="single"/>
        </w:rPr>
      </w:pPr>
    </w:p>
    <w:sectPr w:rsidR="00221774" w:rsidRPr="000A4260" w:rsidSect="00F55FA7">
      <w:headerReference w:type="default" r:id="rId9"/>
      <w:footerReference w:type="default" r:id="rId10"/>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3CD69" w14:textId="77777777" w:rsidR="003F58BD" w:rsidRDefault="003F58BD" w:rsidP="00407FE4">
      <w:pPr>
        <w:spacing w:line="240" w:lineRule="auto"/>
      </w:pPr>
      <w:r>
        <w:separator/>
      </w:r>
    </w:p>
  </w:endnote>
  <w:endnote w:type="continuationSeparator" w:id="0">
    <w:p w14:paraId="3718FAFF" w14:textId="77777777" w:rsidR="003F58BD" w:rsidRDefault="003F58BD" w:rsidP="0040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676247"/>
      <w:docPartObj>
        <w:docPartGallery w:val="Page Numbers (Bottom of Page)"/>
        <w:docPartUnique/>
      </w:docPartObj>
    </w:sdtPr>
    <w:sdtEndPr>
      <w:rPr>
        <w:noProof/>
      </w:rPr>
    </w:sdtEndPr>
    <w:sdtContent>
      <w:p w14:paraId="47AF2C1F" w14:textId="78C72C10" w:rsidR="000A4260" w:rsidRDefault="000A4260">
        <w:pPr>
          <w:pStyle w:val="Footer"/>
          <w:jc w:val="right"/>
        </w:pPr>
        <w:r>
          <w:fldChar w:fldCharType="begin"/>
        </w:r>
        <w:r>
          <w:instrText xml:space="preserve"> PAGE   \* MERGEFORMAT </w:instrText>
        </w:r>
        <w:r>
          <w:fldChar w:fldCharType="separate"/>
        </w:r>
        <w:r w:rsidR="004F5EF3">
          <w:rPr>
            <w:noProof/>
          </w:rPr>
          <w:t>2</w:t>
        </w:r>
        <w:r>
          <w:rPr>
            <w:noProof/>
          </w:rPr>
          <w:fldChar w:fldCharType="end"/>
        </w:r>
      </w:p>
    </w:sdtContent>
  </w:sdt>
  <w:p w14:paraId="55D70F97" w14:textId="77777777" w:rsidR="000A4260" w:rsidRDefault="000A42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21CC9" w14:textId="77777777" w:rsidR="003F58BD" w:rsidRDefault="003F58BD" w:rsidP="00407FE4">
      <w:pPr>
        <w:spacing w:line="240" w:lineRule="auto"/>
      </w:pPr>
      <w:r>
        <w:separator/>
      </w:r>
    </w:p>
  </w:footnote>
  <w:footnote w:type="continuationSeparator" w:id="0">
    <w:p w14:paraId="6C758A99" w14:textId="77777777" w:rsidR="003F58BD" w:rsidRDefault="003F58BD" w:rsidP="00407F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E3603" w14:textId="0BC56FCC" w:rsidR="00407FE4" w:rsidRDefault="003F58BD">
    <w:pPr>
      <w:pStyle w:val="Header"/>
    </w:pPr>
    <w:sdt>
      <w:sdtPr>
        <w:id w:val="56745369"/>
        <w:docPartObj>
          <w:docPartGallery w:val="Watermarks"/>
          <w:docPartUnique/>
        </w:docPartObj>
      </w:sdtPr>
      <w:sdtEndPr/>
      <w:sdtContent>
        <w:r>
          <w:rPr>
            <w:noProof/>
          </w:rPr>
          <w:pict w14:anchorId="6C620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407FE4">
      <w:t>CPSU Claims – Further Detail 25-June-2019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130F"/>
    <w:multiLevelType w:val="hybridMultilevel"/>
    <w:tmpl w:val="B894B7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457CA5"/>
    <w:multiLevelType w:val="hybridMultilevel"/>
    <w:tmpl w:val="5E3697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4656385"/>
    <w:multiLevelType w:val="hybridMultilevel"/>
    <w:tmpl w:val="E05A694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9B34C74"/>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6AD13E1"/>
    <w:multiLevelType w:val="hybridMultilevel"/>
    <w:tmpl w:val="ADF41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4910E7E"/>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4095803"/>
    <w:multiLevelType w:val="hybridMultilevel"/>
    <w:tmpl w:val="5DF4B9BE"/>
    <w:lvl w:ilvl="0" w:tplc="0C090013">
      <w:start w:val="1"/>
      <w:numFmt w:val="upp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CA46AA0"/>
    <w:multiLevelType w:val="hybridMultilevel"/>
    <w:tmpl w:val="8BCA60AC"/>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19"/>
    <w:rsid w:val="0003330A"/>
    <w:rsid w:val="00045DB0"/>
    <w:rsid w:val="00061BB7"/>
    <w:rsid w:val="000A4260"/>
    <w:rsid w:val="00106802"/>
    <w:rsid w:val="00164DCA"/>
    <w:rsid w:val="0018321B"/>
    <w:rsid w:val="00205CEF"/>
    <w:rsid w:val="00221774"/>
    <w:rsid w:val="00265E36"/>
    <w:rsid w:val="002A568D"/>
    <w:rsid w:val="002B5BB8"/>
    <w:rsid w:val="0039758A"/>
    <w:rsid w:val="003F58BD"/>
    <w:rsid w:val="00400B19"/>
    <w:rsid w:val="00407FE4"/>
    <w:rsid w:val="00465019"/>
    <w:rsid w:val="004F5EF3"/>
    <w:rsid w:val="005C148D"/>
    <w:rsid w:val="006435A8"/>
    <w:rsid w:val="00687574"/>
    <w:rsid w:val="006F716E"/>
    <w:rsid w:val="00761E53"/>
    <w:rsid w:val="007E71F2"/>
    <w:rsid w:val="0098487F"/>
    <w:rsid w:val="00A66A6A"/>
    <w:rsid w:val="00A6750B"/>
    <w:rsid w:val="00AA3872"/>
    <w:rsid w:val="00B12156"/>
    <w:rsid w:val="00B23B7A"/>
    <w:rsid w:val="00BF476C"/>
    <w:rsid w:val="00C77173"/>
    <w:rsid w:val="00C83184"/>
    <w:rsid w:val="00C96524"/>
    <w:rsid w:val="00CF3C7E"/>
    <w:rsid w:val="00D5536E"/>
    <w:rsid w:val="00D73601"/>
    <w:rsid w:val="00D82901"/>
    <w:rsid w:val="00DB5947"/>
    <w:rsid w:val="00DD6E5E"/>
    <w:rsid w:val="00E557F9"/>
    <w:rsid w:val="00E62364"/>
    <w:rsid w:val="00E941FA"/>
    <w:rsid w:val="00F52C35"/>
    <w:rsid w:val="00F55FA7"/>
    <w:rsid w:val="00FE2B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83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25937">
      <w:bodyDiv w:val="1"/>
      <w:marLeft w:val="0"/>
      <w:marRight w:val="0"/>
      <w:marTop w:val="0"/>
      <w:marBottom w:val="0"/>
      <w:divBdr>
        <w:top w:val="none" w:sz="0" w:space="0" w:color="auto"/>
        <w:left w:val="none" w:sz="0" w:space="0" w:color="auto"/>
        <w:bottom w:val="none" w:sz="0" w:space="0" w:color="auto"/>
        <w:right w:val="none" w:sz="0" w:space="0" w:color="auto"/>
      </w:divBdr>
    </w:div>
    <w:div w:id="58438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MEAA</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Sinddy Ealy</dc:creator>
  <cp:lastModifiedBy>Mike Dobbie</cp:lastModifiedBy>
  <cp:revision>2</cp:revision>
  <dcterms:created xsi:type="dcterms:W3CDTF">2019-07-24T00:57:00Z</dcterms:created>
  <dcterms:modified xsi:type="dcterms:W3CDTF">2019-07-24T00:57:00Z</dcterms:modified>
</cp:coreProperties>
</file>