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8E" w:rsidRDefault="002A4D8E" w:rsidP="002A4D8E">
      <w:pPr>
        <w:pStyle w:val="Default"/>
        <w:jc w:val="center"/>
        <w:rPr>
          <w:b/>
          <w:color w:val="auto"/>
          <w:sz w:val="52"/>
          <w:szCs w:val="52"/>
        </w:rPr>
      </w:pPr>
      <w:bookmarkStart w:id="0" w:name="_GoBack"/>
      <w:bookmarkEnd w:id="0"/>
    </w:p>
    <w:p w:rsidR="00F4755B" w:rsidRPr="002A4D8E" w:rsidRDefault="00F4755B" w:rsidP="002A4D8E">
      <w:pPr>
        <w:pStyle w:val="Default"/>
        <w:jc w:val="center"/>
        <w:rPr>
          <w:b/>
          <w:color w:val="auto"/>
          <w:sz w:val="52"/>
          <w:szCs w:val="52"/>
        </w:rPr>
      </w:pPr>
      <w:r w:rsidRPr="002A4D8E">
        <w:rPr>
          <w:b/>
          <w:color w:val="auto"/>
          <w:sz w:val="52"/>
          <w:szCs w:val="52"/>
        </w:rPr>
        <w:t>JOINT MEDIA ORGANSIATIONS</w:t>
      </w:r>
    </w:p>
    <w:p w:rsidR="00F4755B" w:rsidRPr="002A4D8E" w:rsidRDefault="00F4755B" w:rsidP="002A4D8E">
      <w:pPr>
        <w:pStyle w:val="Default"/>
        <w:jc w:val="center"/>
        <w:rPr>
          <w:b/>
          <w:color w:val="auto"/>
          <w:sz w:val="52"/>
          <w:szCs w:val="52"/>
        </w:rPr>
      </w:pPr>
    </w:p>
    <w:p w:rsidR="00F4755B" w:rsidRPr="002A4D8E" w:rsidRDefault="00F4755B" w:rsidP="002A4D8E">
      <w:pPr>
        <w:pStyle w:val="Default"/>
        <w:jc w:val="center"/>
        <w:rPr>
          <w:b/>
          <w:color w:val="auto"/>
          <w:sz w:val="52"/>
          <w:szCs w:val="52"/>
        </w:rPr>
      </w:pPr>
      <w:r w:rsidRPr="002A4D8E">
        <w:rPr>
          <w:b/>
          <w:color w:val="auto"/>
          <w:sz w:val="52"/>
          <w:szCs w:val="52"/>
        </w:rPr>
        <w:t>SUBMISSION TO QUEENSLAND CRIME AND CORRUPTION COMMISSION</w:t>
      </w:r>
    </w:p>
    <w:p w:rsidR="002A4D8E" w:rsidRPr="002A4D8E" w:rsidRDefault="002A4D8E" w:rsidP="002A4D8E">
      <w:pPr>
        <w:pStyle w:val="Default"/>
        <w:jc w:val="center"/>
        <w:rPr>
          <w:b/>
          <w:color w:val="auto"/>
          <w:sz w:val="52"/>
          <w:szCs w:val="52"/>
        </w:rPr>
      </w:pPr>
    </w:p>
    <w:p w:rsidR="002A4D8E" w:rsidRDefault="002A4D8E" w:rsidP="002A4D8E">
      <w:pPr>
        <w:pStyle w:val="Default"/>
        <w:jc w:val="center"/>
        <w:rPr>
          <w:b/>
          <w:i/>
          <w:color w:val="auto"/>
          <w:sz w:val="52"/>
          <w:szCs w:val="52"/>
        </w:rPr>
      </w:pPr>
      <w:r w:rsidRPr="002A4D8E">
        <w:rPr>
          <w:b/>
          <w:i/>
          <w:color w:val="auto"/>
          <w:sz w:val="52"/>
          <w:szCs w:val="52"/>
        </w:rPr>
        <w:t>MAKING ALLEGATIONS OF CORRUPT CONDUCT PUBLIC – IS IT IN THE PUBLIC INTEREST?</w:t>
      </w:r>
      <w:r>
        <w:rPr>
          <w:b/>
          <w:i/>
          <w:color w:val="auto"/>
          <w:sz w:val="52"/>
          <w:szCs w:val="52"/>
        </w:rPr>
        <w:t xml:space="preserve">  </w:t>
      </w:r>
    </w:p>
    <w:p w:rsidR="002A4D8E" w:rsidRDefault="002A4D8E" w:rsidP="002A4D8E">
      <w:pPr>
        <w:pStyle w:val="Default"/>
        <w:jc w:val="center"/>
        <w:rPr>
          <w:b/>
          <w:i/>
          <w:color w:val="auto"/>
          <w:sz w:val="52"/>
          <w:szCs w:val="52"/>
        </w:rPr>
      </w:pPr>
    </w:p>
    <w:p w:rsidR="002A4D8E" w:rsidRPr="002A4D8E" w:rsidRDefault="002A4D8E" w:rsidP="002A4D8E">
      <w:pPr>
        <w:pStyle w:val="Default"/>
        <w:jc w:val="center"/>
        <w:rPr>
          <w:b/>
          <w:i/>
          <w:color w:val="auto"/>
          <w:sz w:val="52"/>
          <w:szCs w:val="52"/>
        </w:rPr>
      </w:pPr>
      <w:r w:rsidRPr="002A4D8E">
        <w:rPr>
          <w:b/>
          <w:color w:val="auto"/>
          <w:sz w:val="52"/>
          <w:szCs w:val="52"/>
        </w:rPr>
        <w:t>DISCUSSION PAPER</w:t>
      </w:r>
    </w:p>
    <w:p w:rsidR="002A4D8E" w:rsidRPr="002A4D8E" w:rsidRDefault="002A4D8E" w:rsidP="002A4D8E">
      <w:pPr>
        <w:pStyle w:val="Default"/>
        <w:jc w:val="center"/>
        <w:rPr>
          <w:b/>
          <w:color w:val="auto"/>
          <w:sz w:val="40"/>
          <w:szCs w:val="40"/>
        </w:rPr>
      </w:pPr>
    </w:p>
    <w:p w:rsidR="002A4D8E" w:rsidRPr="002A4D8E" w:rsidRDefault="00970474" w:rsidP="002A4D8E">
      <w:pPr>
        <w:pStyle w:val="Default"/>
        <w:jc w:val="center"/>
        <w:rPr>
          <w:b/>
          <w:i/>
          <w:color w:val="auto"/>
          <w:sz w:val="40"/>
          <w:szCs w:val="40"/>
        </w:rPr>
      </w:pPr>
      <w:r w:rsidRPr="00970474">
        <w:rPr>
          <w:b/>
          <w:color w:val="auto"/>
          <w:sz w:val="40"/>
          <w:szCs w:val="40"/>
        </w:rPr>
        <w:t>8 July</w:t>
      </w:r>
      <w:r w:rsidR="002A4D8E" w:rsidRPr="00970474">
        <w:rPr>
          <w:b/>
          <w:color w:val="auto"/>
          <w:sz w:val="40"/>
          <w:szCs w:val="40"/>
        </w:rPr>
        <w:t xml:space="preserve"> 2016</w:t>
      </w:r>
    </w:p>
    <w:p w:rsidR="002A4D8E" w:rsidRDefault="002A4D8E" w:rsidP="00F4755B"/>
    <w:p w:rsidR="00F4755B" w:rsidRDefault="00F4755B" w:rsidP="00F4755B"/>
    <w:p w:rsidR="00F4755B" w:rsidRPr="00001F76" w:rsidRDefault="00F4755B" w:rsidP="00F4755B">
      <w:pPr>
        <w:autoSpaceDE w:val="0"/>
        <w:autoSpaceDN w:val="0"/>
        <w:adjustRightInd w:val="0"/>
        <w:rPr>
          <w:rFonts w:eastAsia="Times New Roman" w:cs="Calibri"/>
          <w:color w:val="000000"/>
          <w:szCs w:val="24"/>
          <w:lang w:eastAsia="en-AU"/>
        </w:rPr>
      </w:pPr>
    </w:p>
    <w:p w:rsidR="00F4755B" w:rsidRPr="005627EC" w:rsidRDefault="00F4755B" w:rsidP="00F4755B">
      <w:pPr>
        <w:rPr>
          <w:rFonts w:eastAsia="Times New Roman"/>
          <w:lang w:eastAsia="en-AU"/>
        </w:rPr>
      </w:pPr>
      <w:r>
        <w:rPr>
          <w:rFonts w:ascii="Times New Roman" w:eastAsia="Times New Roman" w:hAnsi="Times New Roman"/>
          <w:noProof/>
          <w:sz w:val="24"/>
          <w:szCs w:val="24"/>
          <w:lang w:eastAsia="en-AU"/>
        </w:rPr>
        <w:drawing>
          <wp:inline distT="0" distB="0" distL="0" distR="0" wp14:anchorId="36B933A0" wp14:editId="79FE4395">
            <wp:extent cx="1143000" cy="412511"/>
            <wp:effectExtent l="0" t="0" r="0" b="0"/>
            <wp:docPr id="23" name="Picture 23" descr="G:\Corporate Affairs\Logos\All Logos 2012\ARTK\A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rporate Affairs\Logos\All Logos 2012\ARTK\AA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344" cy="412635"/>
                    </a:xfrm>
                    <a:prstGeom prst="rect">
                      <a:avLst/>
                    </a:prstGeom>
                    <a:noFill/>
                    <a:ln>
                      <a:noFill/>
                    </a:ln>
                  </pic:spPr>
                </pic:pic>
              </a:graphicData>
            </a:graphic>
          </wp:inline>
        </w:drawing>
      </w:r>
      <w:r w:rsidRPr="00001F76">
        <w:rPr>
          <w:rFonts w:eastAsia="Times New Roman"/>
          <w:lang w:eastAsia="en-AU"/>
        </w:rPr>
        <w:t xml:space="preserve">  </w:t>
      </w:r>
      <w:r>
        <w:rPr>
          <w:rFonts w:eastAsia="Times New Roman"/>
          <w:lang w:eastAsia="en-AU"/>
        </w:rPr>
        <w:t xml:space="preserve">            </w:t>
      </w:r>
      <w:r w:rsidRPr="00001F76">
        <w:rPr>
          <w:rFonts w:eastAsia="Times New Roman"/>
          <w:lang w:eastAsia="en-AU"/>
        </w:rPr>
        <w:t xml:space="preserve"> </w:t>
      </w:r>
      <w:r>
        <w:rPr>
          <w:rFonts w:ascii="Times New Roman" w:eastAsia="Times New Roman" w:hAnsi="Times New Roman"/>
          <w:noProof/>
          <w:sz w:val="24"/>
          <w:szCs w:val="24"/>
          <w:lang w:eastAsia="en-AU"/>
        </w:rPr>
        <w:drawing>
          <wp:inline distT="0" distB="0" distL="0" distR="0" wp14:anchorId="2A73AFC1" wp14:editId="332A4612">
            <wp:extent cx="495300" cy="554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54064"/>
                    </a:xfrm>
                    <a:prstGeom prst="rect">
                      <a:avLst/>
                    </a:prstGeom>
                    <a:noFill/>
                    <a:ln>
                      <a:noFill/>
                    </a:ln>
                  </pic:spPr>
                </pic:pic>
              </a:graphicData>
            </a:graphic>
          </wp:inline>
        </w:drawing>
      </w:r>
      <w:r>
        <w:rPr>
          <w:rFonts w:ascii="Times New Roman" w:eastAsia="Times New Roman" w:hAnsi="Times New Roman"/>
          <w:noProof/>
          <w:sz w:val="24"/>
          <w:szCs w:val="24"/>
          <w:lang w:eastAsia="en-AU"/>
        </w:rPr>
        <w:t xml:space="preserve">          </w:t>
      </w:r>
      <w:r w:rsidRPr="005627EC">
        <w:rPr>
          <w:rFonts w:ascii="Times New Roman" w:eastAsia="Times New Roman" w:hAnsi="Times New Roman"/>
          <w:noProof/>
          <w:sz w:val="24"/>
          <w:szCs w:val="24"/>
          <w:lang w:eastAsia="en-AU"/>
        </w:rPr>
        <w:t xml:space="preserve"> </w:t>
      </w:r>
      <w:r>
        <w:rPr>
          <w:rFonts w:ascii="Times New Roman" w:eastAsia="Times New Roman" w:hAnsi="Times New Roman"/>
          <w:sz w:val="24"/>
          <w:szCs w:val="24"/>
          <w:lang w:eastAsia="en-AU"/>
        </w:rPr>
        <w:t xml:space="preserve">    </w:t>
      </w:r>
      <w:r w:rsidRPr="005627EC">
        <w:rPr>
          <w:rFonts w:ascii="Times New Roman" w:eastAsia="Times New Roman" w:hAnsi="Times New Roman"/>
          <w:sz w:val="24"/>
          <w:szCs w:val="24"/>
          <w:lang w:eastAsia="en-AU"/>
        </w:rPr>
        <w:t xml:space="preserve"> </w:t>
      </w:r>
      <w:r>
        <w:rPr>
          <w:rFonts w:ascii="Times New Roman" w:eastAsia="Times New Roman" w:hAnsi="Times New Roman"/>
          <w:noProof/>
          <w:sz w:val="24"/>
          <w:szCs w:val="24"/>
          <w:lang w:eastAsia="en-AU"/>
        </w:rPr>
        <w:drawing>
          <wp:inline distT="0" distB="0" distL="0" distR="0" wp14:anchorId="77CEFAE6" wp14:editId="5A7C4C01">
            <wp:extent cx="493857" cy="55245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857" cy="552450"/>
                    </a:xfrm>
                    <a:prstGeom prst="rect">
                      <a:avLst/>
                    </a:prstGeom>
                    <a:noFill/>
                    <a:ln>
                      <a:noFill/>
                    </a:ln>
                  </pic:spPr>
                </pic:pic>
              </a:graphicData>
            </a:graphic>
          </wp:inline>
        </w:drawing>
      </w:r>
      <w:r w:rsidRPr="005627EC">
        <w:rPr>
          <w:rFonts w:ascii="Times New Roman" w:eastAsia="Times New Roman" w:hAnsi="Times New Roman"/>
          <w:noProof/>
          <w:sz w:val="24"/>
          <w:szCs w:val="24"/>
          <w:lang w:eastAsia="en-AU"/>
        </w:rPr>
        <w:t xml:space="preserve">  </w:t>
      </w:r>
      <w:r>
        <w:rPr>
          <w:rFonts w:ascii="Times New Roman" w:eastAsia="Times New Roman" w:hAnsi="Times New Roman"/>
          <w:noProof/>
          <w:sz w:val="24"/>
          <w:szCs w:val="24"/>
          <w:lang w:eastAsia="en-AU"/>
        </w:rPr>
        <w:t xml:space="preserve">  </w:t>
      </w:r>
      <w:r w:rsidRPr="005627EC">
        <w:rPr>
          <w:rFonts w:ascii="Times New Roman" w:eastAsia="Times New Roman" w:hAnsi="Times New Roman"/>
          <w:noProof/>
          <w:sz w:val="24"/>
          <w:szCs w:val="24"/>
          <w:lang w:eastAsia="en-AU"/>
        </w:rPr>
        <w:t xml:space="preserve"> </w:t>
      </w:r>
      <w:r>
        <w:rPr>
          <w:rFonts w:ascii="Times New Roman" w:eastAsia="Times New Roman" w:hAnsi="Times New Roman"/>
          <w:noProof/>
          <w:sz w:val="24"/>
          <w:szCs w:val="24"/>
          <w:lang w:eastAsia="en-AU"/>
        </w:rPr>
        <w:t xml:space="preserve">  </w:t>
      </w:r>
      <w:r w:rsidRPr="005627EC">
        <w:rPr>
          <w:rFonts w:ascii="Times New Roman" w:eastAsia="Times New Roman" w:hAnsi="Times New Roman"/>
          <w:noProof/>
          <w:sz w:val="24"/>
          <w:szCs w:val="24"/>
          <w:lang w:eastAsia="en-AU"/>
        </w:rPr>
        <w:t xml:space="preserve"> </w:t>
      </w:r>
      <w:r>
        <w:rPr>
          <w:rFonts w:ascii="Times New Roman" w:eastAsia="Times New Roman" w:hAnsi="Times New Roman"/>
          <w:noProof/>
          <w:sz w:val="24"/>
          <w:szCs w:val="24"/>
          <w:lang w:eastAsia="en-AU"/>
        </w:rPr>
        <w:t xml:space="preserve">    </w:t>
      </w:r>
      <w:r>
        <w:rPr>
          <w:rFonts w:ascii="Times New Roman" w:eastAsia="Times New Roman" w:hAnsi="Times New Roman"/>
          <w:noProof/>
          <w:sz w:val="24"/>
          <w:szCs w:val="24"/>
          <w:lang w:eastAsia="en-AU"/>
        </w:rPr>
        <w:drawing>
          <wp:inline distT="0" distB="0" distL="0" distR="0" wp14:anchorId="6D7CA557" wp14:editId="61DFF8C8">
            <wp:extent cx="760518" cy="575025"/>
            <wp:effectExtent l="0" t="0" r="1905" b="9525"/>
            <wp:docPr id="21" name="Picture 21" descr="BMG_Logo_Blue-Blac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MG_Logo_Blue-Black_s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101" cy="575466"/>
                    </a:xfrm>
                    <a:prstGeom prst="rect">
                      <a:avLst/>
                    </a:prstGeom>
                    <a:noFill/>
                    <a:ln>
                      <a:noFill/>
                    </a:ln>
                  </pic:spPr>
                </pic:pic>
              </a:graphicData>
            </a:graphic>
          </wp:inline>
        </w:drawing>
      </w:r>
      <w:r>
        <w:rPr>
          <w:rFonts w:ascii="Times New Roman" w:eastAsia="Times New Roman" w:hAnsi="Times New Roman"/>
          <w:noProof/>
          <w:sz w:val="24"/>
          <w:szCs w:val="24"/>
          <w:lang w:eastAsia="en-AU"/>
        </w:rPr>
        <w:t xml:space="preserve">          </w:t>
      </w:r>
      <w:r>
        <w:rPr>
          <w:rFonts w:ascii="Times New Roman" w:eastAsia="Times New Roman" w:hAnsi="Times New Roman"/>
          <w:noProof/>
          <w:sz w:val="24"/>
          <w:szCs w:val="24"/>
          <w:lang w:eastAsia="en-AU"/>
        </w:rPr>
        <w:drawing>
          <wp:inline distT="0" distB="0" distL="0" distR="0" wp14:anchorId="68580C5C" wp14:editId="14DF215B">
            <wp:extent cx="986367" cy="654322"/>
            <wp:effectExtent l="0" t="0" r="444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029" cy="654761"/>
                    </a:xfrm>
                    <a:prstGeom prst="rect">
                      <a:avLst/>
                    </a:prstGeom>
                    <a:noFill/>
                    <a:ln>
                      <a:noFill/>
                    </a:ln>
                  </pic:spPr>
                </pic:pic>
              </a:graphicData>
            </a:graphic>
          </wp:inline>
        </w:drawing>
      </w:r>
    </w:p>
    <w:p w:rsidR="00F4755B" w:rsidRPr="005627EC" w:rsidRDefault="00F4755B" w:rsidP="00F4755B">
      <w:pPr>
        <w:rPr>
          <w:rFonts w:eastAsia="Times New Roman"/>
          <w:lang w:eastAsia="en-AU"/>
        </w:rPr>
      </w:pPr>
    </w:p>
    <w:p w:rsidR="00F4755B" w:rsidRDefault="00F4755B" w:rsidP="00F4755B">
      <w:pPr>
        <w:rPr>
          <w:rFonts w:eastAsia="Times New Roman"/>
          <w:lang w:eastAsia="en-AU"/>
        </w:rPr>
      </w:pPr>
    </w:p>
    <w:p w:rsidR="002A4D8E" w:rsidRPr="005627EC" w:rsidRDefault="002A4D8E" w:rsidP="00F4755B">
      <w:pPr>
        <w:rPr>
          <w:rFonts w:eastAsia="Times New Roman"/>
          <w:lang w:eastAsia="en-AU"/>
        </w:rPr>
      </w:pPr>
    </w:p>
    <w:p w:rsidR="00F4755B" w:rsidRDefault="00F4755B" w:rsidP="00F4755B">
      <w:pPr>
        <w:rPr>
          <w:rFonts w:ascii="Times New Roman" w:eastAsia="Times New Roman" w:hAnsi="Times New Roman" w:cs="Calibri"/>
          <w:noProof/>
          <w:color w:val="000000"/>
          <w:sz w:val="36"/>
          <w:szCs w:val="36"/>
          <w:lang w:eastAsia="en-AU"/>
        </w:rPr>
      </w:pPr>
      <w:r>
        <w:rPr>
          <w:rFonts w:ascii="Times New Roman" w:eastAsia="Times New Roman" w:hAnsi="Times New Roman"/>
          <w:noProof/>
          <w:sz w:val="24"/>
          <w:szCs w:val="24"/>
          <w:lang w:eastAsia="en-AU"/>
        </w:rPr>
        <w:t xml:space="preserve"> </w:t>
      </w:r>
      <w:r>
        <w:rPr>
          <w:noProof/>
          <w:lang w:eastAsia="en-AU"/>
        </w:rPr>
        <w:drawing>
          <wp:inline distT="0" distB="0" distL="0" distR="0" wp14:anchorId="4F0F642B" wp14:editId="1C82A3BC">
            <wp:extent cx="495300" cy="495300"/>
            <wp:effectExtent l="0" t="0" r="0" b="0"/>
            <wp:docPr id="3" name="Picture 3" descr="C:\Users\schubertg\Downloads\MEAA logo 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bertg\Downloads\MEAA logo s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New Roman" w:eastAsia="Times New Roman" w:hAnsi="Times New Roman"/>
          <w:noProof/>
          <w:sz w:val="24"/>
          <w:szCs w:val="24"/>
          <w:lang w:eastAsia="en-AU"/>
        </w:rPr>
        <w:t xml:space="preserve">     </w:t>
      </w:r>
      <w:r w:rsidRPr="005627EC">
        <w:rPr>
          <w:rFonts w:ascii="Times New Roman" w:eastAsia="Times New Roman" w:hAnsi="Times New Roman"/>
          <w:noProof/>
          <w:sz w:val="24"/>
          <w:szCs w:val="24"/>
          <w:lang w:eastAsia="en-AU"/>
        </w:rPr>
        <w:t xml:space="preserve"> </w:t>
      </w:r>
      <w:r>
        <w:rPr>
          <w:rFonts w:ascii="Times New Roman" w:eastAsia="Times New Roman" w:hAnsi="Times New Roman" w:cs="Calibri"/>
          <w:noProof/>
          <w:color w:val="000000"/>
          <w:sz w:val="36"/>
          <w:szCs w:val="36"/>
          <w:lang w:eastAsia="en-AU"/>
        </w:rPr>
        <w:t xml:space="preserve"> </w:t>
      </w:r>
      <w:r>
        <w:rPr>
          <w:rFonts w:ascii="Times New Roman" w:eastAsia="Times New Roman" w:hAnsi="Times New Roman" w:cs="Calibri"/>
          <w:noProof/>
          <w:color w:val="000000"/>
          <w:sz w:val="36"/>
          <w:szCs w:val="36"/>
          <w:lang w:eastAsia="en-AU"/>
        </w:rPr>
        <w:drawing>
          <wp:inline distT="0" distB="0" distL="0" distR="0" wp14:anchorId="5AD01C2B" wp14:editId="7CD57249">
            <wp:extent cx="1126067" cy="4646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6607" cy="464824"/>
                    </a:xfrm>
                    <a:prstGeom prst="rect">
                      <a:avLst/>
                    </a:prstGeom>
                    <a:noFill/>
                    <a:ln>
                      <a:noFill/>
                    </a:ln>
                  </pic:spPr>
                </pic:pic>
              </a:graphicData>
            </a:graphic>
          </wp:inline>
        </w:drawing>
      </w:r>
      <w:r>
        <w:rPr>
          <w:rFonts w:ascii="Times New Roman" w:eastAsia="Times New Roman" w:hAnsi="Times New Roman" w:cs="Calibri"/>
          <w:noProof/>
          <w:color w:val="000000"/>
          <w:sz w:val="36"/>
          <w:szCs w:val="36"/>
          <w:lang w:eastAsia="en-AU"/>
        </w:rPr>
        <w:t xml:space="preserve">       </w:t>
      </w:r>
      <w:r w:rsidRPr="005627EC">
        <w:rPr>
          <w:rFonts w:ascii="Times New Roman" w:eastAsia="Times New Roman" w:hAnsi="Times New Roman" w:cs="Calibri"/>
          <w:noProof/>
          <w:color w:val="000000"/>
          <w:sz w:val="36"/>
          <w:szCs w:val="36"/>
          <w:lang w:eastAsia="en-AU"/>
        </w:rPr>
        <w:t xml:space="preserve"> </w:t>
      </w:r>
      <w:r>
        <w:rPr>
          <w:rFonts w:ascii="Times New Roman" w:eastAsia="Times New Roman" w:hAnsi="Times New Roman" w:cs="Calibri"/>
          <w:noProof/>
          <w:color w:val="000000"/>
          <w:sz w:val="36"/>
          <w:szCs w:val="36"/>
          <w:lang w:eastAsia="en-AU"/>
        </w:rPr>
        <w:drawing>
          <wp:inline distT="0" distB="0" distL="0" distR="0" wp14:anchorId="238E6477" wp14:editId="28B0EC25">
            <wp:extent cx="800100" cy="496910"/>
            <wp:effectExtent l="0" t="0" r="0" b="11430"/>
            <wp:docPr id="2" name="Picture 2" descr="C:\Users\SchubertG\Downloads\ASTRA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bertG\Downloads\ASTRA_Stacked_CMY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776" cy="512235"/>
                    </a:xfrm>
                    <a:prstGeom prst="rect">
                      <a:avLst/>
                    </a:prstGeom>
                    <a:noFill/>
                    <a:ln>
                      <a:noFill/>
                    </a:ln>
                  </pic:spPr>
                </pic:pic>
              </a:graphicData>
            </a:graphic>
          </wp:inline>
        </w:drawing>
      </w:r>
      <w:r>
        <w:rPr>
          <w:rFonts w:ascii="Times New Roman" w:eastAsia="Times New Roman" w:hAnsi="Times New Roman" w:cs="Calibri"/>
          <w:noProof/>
          <w:color w:val="000000"/>
          <w:sz w:val="36"/>
          <w:szCs w:val="36"/>
          <w:lang w:eastAsia="en-AU"/>
        </w:rPr>
        <w:t xml:space="preserve">       </w:t>
      </w:r>
      <w:r>
        <w:rPr>
          <w:rFonts w:ascii="Times New Roman" w:eastAsia="Times New Roman" w:hAnsi="Times New Roman"/>
          <w:noProof/>
          <w:sz w:val="24"/>
          <w:szCs w:val="24"/>
          <w:lang w:eastAsia="en-AU"/>
        </w:rPr>
        <w:drawing>
          <wp:inline distT="0" distB="0" distL="0" distR="0" wp14:anchorId="266002C9" wp14:editId="4C57AD77">
            <wp:extent cx="1388571" cy="505771"/>
            <wp:effectExtent l="0" t="0" r="2540" b="8890"/>
            <wp:docPr id="18" name="Picture 18" descr="C:\Users\CorneN\AppData\Local\Microsoft\Windows\Temporary Internet Files\Content.Outlook\3DDX6CKE\C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N\AppData\Local\Microsoft\Windows\Temporary Internet Files\Content.Outlook\3DDX6CKE\CR_Logo_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l="15073" t="32787" r="15942" b="34427"/>
                    <a:stretch>
                      <a:fillRect/>
                    </a:stretch>
                  </pic:blipFill>
                  <pic:spPr bwMode="auto">
                    <a:xfrm>
                      <a:off x="0" y="0"/>
                      <a:ext cx="1406332" cy="512240"/>
                    </a:xfrm>
                    <a:prstGeom prst="rect">
                      <a:avLst/>
                    </a:prstGeom>
                    <a:noFill/>
                    <a:ln>
                      <a:noFill/>
                    </a:ln>
                  </pic:spPr>
                </pic:pic>
              </a:graphicData>
            </a:graphic>
          </wp:inline>
        </w:drawing>
      </w:r>
      <w:r w:rsidRPr="005627EC">
        <w:rPr>
          <w:rFonts w:ascii="Times New Roman" w:eastAsia="Times New Roman" w:hAnsi="Times New Roman" w:cs="Calibri"/>
          <w:noProof/>
          <w:color w:val="000000"/>
          <w:sz w:val="36"/>
          <w:szCs w:val="36"/>
          <w:lang w:eastAsia="en-AU"/>
        </w:rPr>
        <w:t xml:space="preserve"> </w:t>
      </w:r>
      <w:r>
        <w:rPr>
          <w:rFonts w:ascii="Times New Roman" w:eastAsia="Times New Roman" w:hAnsi="Times New Roman" w:cs="Calibri"/>
          <w:noProof/>
          <w:color w:val="000000"/>
          <w:sz w:val="36"/>
          <w:szCs w:val="36"/>
          <w:lang w:eastAsia="en-AU"/>
        </w:rPr>
        <w:t xml:space="preserve">     </w:t>
      </w:r>
      <w:r>
        <w:rPr>
          <w:noProof/>
          <w:lang w:eastAsia="en-AU"/>
        </w:rPr>
        <w:drawing>
          <wp:inline distT="0" distB="0" distL="0" distR="0" wp14:anchorId="5AA67CE7" wp14:editId="40129F7B">
            <wp:extent cx="588103" cy="584441"/>
            <wp:effectExtent l="0" t="0" r="0" b="0"/>
            <wp:docPr id="5" name="Picture 5" descr="C:\Users\SchubertG\Downloads\cbaa_vert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bertG\Downloads\cbaa_vert_logo_cmy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459" cy="592745"/>
                    </a:xfrm>
                    <a:prstGeom prst="rect">
                      <a:avLst/>
                    </a:prstGeom>
                    <a:noFill/>
                    <a:ln>
                      <a:noFill/>
                    </a:ln>
                  </pic:spPr>
                </pic:pic>
              </a:graphicData>
            </a:graphic>
          </wp:inline>
        </w:drawing>
      </w:r>
    </w:p>
    <w:p w:rsidR="00F4755B" w:rsidRDefault="00F4755B" w:rsidP="00F4755B">
      <w:pPr>
        <w:rPr>
          <w:rFonts w:ascii="Times New Roman" w:eastAsia="Times New Roman" w:hAnsi="Times New Roman" w:cs="Calibri"/>
          <w:noProof/>
          <w:color w:val="000000"/>
          <w:sz w:val="36"/>
          <w:szCs w:val="36"/>
          <w:lang w:eastAsia="en-AU"/>
        </w:rPr>
      </w:pPr>
    </w:p>
    <w:p w:rsidR="002A4D8E" w:rsidRPr="005627EC" w:rsidRDefault="002A4D8E" w:rsidP="00F4755B">
      <w:pPr>
        <w:rPr>
          <w:rFonts w:ascii="Times New Roman" w:eastAsia="Times New Roman" w:hAnsi="Times New Roman" w:cs="Calibri"/>
          <w:noProof/>
          <w:color w:val="000000"/>
          <w:sz w:val="36"/>
          <w:szCs w:val="36"/>
          <w:lang w:eastAsia="en-AU"/>
        </w:rPr>
      </w:pPr>
    </w:p>
    <w:p w:rsidR="00F4755B" w:rsidRPr="00D928A2" w:rsidRDefault="00F4755B" w:rsidP="00F4755B">
      <w:pPr>
        <w:rPr>
          <w:rFonts w:eastAsia="Times New Roman"/>
          <w:lang w:eastAsia="en-AU"/>
        </w:rPr>
      </w:pPr>
      <w:r>
        <w:rPr>
          <w:rFonts w:ascii="Times New Roman" w:eastAsia="Times New Roman" w:hAnsi="Times New Roman"/>
          <w:noProof/>
          <w:sz w:val="24"/>
          <w:szCs w:val="24"/>
          <w:lang w:eastAsia="en-AU"/>
        </w:rPr>
        <w:drawing>
          <wp:anchor distT="0" distB="0" distL="114300" distR="114300" simplePos="0" relativeHeight="251659264" behindDoc="0" locked="0" layoutInCell="1" allowOverlap="1" wp14:anchorId="257D0B4D" wp14:editId="492745BD">
            <wp:simplePos x="0" y="0"/>
            <wp:positionH relativeFrom="column">
              <wp:posOffset>0</wp:posOffset>
            </wp:positionH>
            <wp:positionV relativeFrom="paragraph">
              <wp:posOffset>55880</wp:posOffset>
            </wp:positionV>
            <wp:extent cx="1714500" cy="307975"/>
            <wp:effectExtent l="0" t="0" r="12700" b="0"/>
            <wp:wrapSquare wrapText="left"/>
            <wp:docPr id="26" name="Picture 26" descr="News Corp A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 Corp Aus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noProof/>
          <w:color w:val="000000"/>
          <w:sz w:val="36"/>
          <w:szCs w:val="36"/>
          <w:lang w:eastAsia="en-AU"/>
        </w:rPr>
        <w:drawing>
          <wp:inline distT="0" distB="0" distL="0" distR="0" wp14:anchorId="02AB496B" wp14:editId="002C349D">
            <wp:extent cx="904360" cy="304195"/>
            <wp:effectExtent l="0" t="0" r="0" b="635"/>
            <wp:docPr id="17" name="Picture 17" descr="ABC_Corporat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BC_Corporate_B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801" cy="314098"/>
                    </a:xfrm>
                    <a:prstGeom prst="rect">
                      <a:avLst/>
                    </a:prstGeom>
                    <a:noFill/>
                    <a:ln>
                      <a:noFill/>
                    </a:ln>
                  </pic:spPr>
                </pic:pic>
              </a:graphicData>
            </a:graphic>
          </wp:inline>
        </w:drawing>
      </w:r>
      <w:r>
        <w:rPr>
          <w:rFonts w:ascii="Times New Roman" w:eastAsia="Times New Roman" w:hAnsi="Times New Roman" w:cs="Calibri"/>
          <w:noProof/>
          <w:color w:val="000000"/>
          <w:sz w:val="36"/>
          <w:szCs w:val="36"/>
          <w:lang w:eastAsia="en-AU"/>
        </w:rPr>
        <w:t xml:space="preserve">  </w:t>
      </w:r>
      <w:r>
        <w:rPr>
          <w:noProof/>
          <w:lang w:eastAsia="en-AU"/>
        </w:rPr>
        <w:drawing>
          <wp:inline distT="0" distB="0" distL="0" distR="0" wp14:anchorId="3AEB1AFE" wp14:editId="68775656">
            <wp:extent cx="1390650" cy="293163"/>
            <wp:effectExtent l="0" t="0" r="0" b="0"/>
            <wp:docPr id="1" name="Picture 1" descr="C:\Users\schubertg\Desktop\TN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bertg\Desktop\TNW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8279" cy="294771"/>
                    </a:xfrm>
                    <a:prstGeom prst="rect">
                      <a:avLst/>
                    </a:prstGeom>
                    <a:noFill/>
                    <a:ln>
                      <a:noFill/>
                    </a:ln>
                  </pic:spPr>
                </pic:pic>
              </a:graphicData>
            </a:graphic>
          </wp:inline>
        </w:drawing>
      </w:r>
      <w:r>
        <w:rPr>
          <w:rFonts w:ascii="Times New Roman" w:eastAsia="Times New Roman" w:hAnsi="Times New Roman" w:cs="Calibri"/>
          <w:noProof/>
          <w:color w:val="000000"/>
          <w:sz w:val="36"/>
          <w:szCs w:val="36"/>
          <w:lang w:eastAsia="en-AU"/>
        </w:rPr>
        <w:t xml:space="preserve">   </w:t>
      </w:r>
      <w:r>
        <w:rPr>
          <w:rFonts w:eastAsia="Times New Roman"/>
          <w:noProof/>
          <w:lang w:eastAsia="en-AU"/>
        </w:rPr>
        <w:drawing>
          <wp:inline distT="0" distB="0" distL="0" distR="0" wp14:anchorId="4538098B" wp14:editId="11D2ED58">
            <wp:extent cx="1714500" cy="297294"/>
            <wp:effectExtent l="0" t="0" r="0" b="7620"/>
            <wp:docPr id="20" name="Picture 20" descr="The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e West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5529" cy="297472"/>
                    </a:xfrm>
                    <a:prstGeom prst="rect">
                      <a:avLst/>
                    </a:prstGeom>
                    <a:noFill/>
                    <a:ln>
                      <a:noFill/>
                    </a:ln>
                  </pic:spPr>
                </pic:pic>
              </a:graphicData>
            </a:graphic>
          </wp:inline>
        </w:drawing>
      </w:r>
      <w:r>
        <w:rPr>
          <w:rFonts w:ascii="Times New Roman" w:eastAsia="Times New Roman" w:hAnsi="Times New Roman" w:cs="Calibri"/>
          <w:noProof/>
          <w:color w:val="000000"/>
          <w:sz w:val="36"/>
          <w:szCs w:val="36"/>
          <w:lang w:eastAsia="en-AU"/>
        </w:rPr>
        <w:t xml:space="preserve">      </w:t>
      </w:r>
    </w:p>
    <w:p w:rsidR="00F4755B" w:rsidRDefault="00F4755B" w:rsidP="00F4755B"/>
    <w:p w:rsidR="00F4755B" w:rsidRDefault="00F4755B" w:rsidP="00F4755B"/>
    <w:p w:rsidR="00F4755B" w:rsidRDefault="00F4755B">
      <w:pPr>
        <w:spacing w:after="200" w:line="276" w:lineRule="auto"/>
      </w:pPr>
      <w:r>
        <w:br w:type="page"/>
      </w:r>
    </w:p>
    <w:p w:rsidR="00F4755B" w:rsidRDefault="00F4755B" w:rsidP="001F6EF0">
      <w:pPr>
        <w:pStyle w:val="Default"/>
        <w:rPr>
          <w:color w:val="auto"/>
          <w:sz w:val="22"/>
        </w:rPr>
      </w:pPr>
      <w:r w:rsidRPr="002A4D8E">
        <w:rPr>
          <w:color w:val="auto"/>
          <w:sz w:val="22"/>
          <w:szCs w:val="22"/>
        </w:rPr>
        <w:lastRenderedPageBreak/>
        <w:t xml:space="preserve">The parties to this submission – </w:t>
      </w:r>
      <w:r w:rsidRPr="002A4D8E">
        <w:rPr>
          <w:color w:val="auto"/>
          <w:sz w:val="22"/>
        </w:rPr>
        <w:t xml:space="preserve">AAP, ABC, APN News &amp; Media, Australian Subscription Television and Radio Association, Bauer Media Group, Commercial Radio Australia, Community Broadcasting Association of Australia, Fairfax Media, Free TV, MEAA, News Corp Australia, NewsMediaWorks, SBS and The West Australian (collectively, the Joint Media Organisations) – appreciate the opportunity to make a submission to the </w:t>
      </w:r>
      <w:r w:rsidR="002A4D8E" w:rsidRPr="002A4D8E">
        <w:rPr>
          <w:color w:val="auto"/>
          <w:sz w:val="22"/>
        </w:rPr>
        <w:t xml:space="preserve">Queensland Crime and Corruption Commission’s </w:t>
      </w:r>
      <w:r w:rsidR="00E701D3">
        <w:rPr>
          <w:color w:val="auto"/>
          <w:sz w:val="22"/>
        </w:rPr>
        <w:t xml:space="preserve">(Queensland CCC) </w:t>
      </w:r>
      <w:r w:rsidR="002A4D8E" w:rsidRPr="002A4D8E">
        <w:rPr>
          <w:i/>
          <w:color w:val="auto"/>
          <w:sz w:val="22"/>
        </w:rPr>
        <w:t>Making allegations of corrupt conduct public – Is it in the public interest?</w:t>
      </w:r>
      <w:r w:rsidR="002A4D8E" w:rsidRPr="002A4D8E">
        <w:rPr>
          <w:color w:val="auto"/>
          <w:sz w:val="22"/>
        </w:rPr>
        <w:t xml:space="preserve"> Discussion Paper (the Discussion Paper).</w:t>
      </w:r>
    </w:p>
    <w:p w:rsidR="00F4755B" w:rsidRPr="002A4D8E" w:rsidRDefault="00F4755B" w:rsidP="001F6EF0">
      <w:pPr>
        <w:pStyle w:val="Default"/>
        <w:rPr>
          <w:color w:val="auto"/>
          <w:sz w:val="22"/>
          <w:szCs w:val="22"/>
        </w:rPr>
      </w:pPr>
    </w:p>
    <w:p w:rsidR="00BC09AA" w:rsidRDefault="00F4755B" w:rsidP="001F6EF0">
      <w:pPr>
        <w:pStyle w:val="Default"/>
        <w:rPr>
          <w:color w:val="auto"/>
          <w:sz w:val="22"/>
          <w:szCs w:val="22"/>
        </w:rPr>
      </w:pPr>
      <w:r w:rsidRPr="002A4D8E">
        <w:rPr>
          <w:color w:val="auto"/>
          <w:sz w:val="22"/>
          <w:szCs w:val="22"/>
        </w:rPr>
        <w:t>Free speech, free press and access to information are fundamental to a democratic society that prides itself on openness, responsibility and accountability.  This includes the public’s right to know how they are being governed, including the right to be inf</w:t>
      </w:r>
      <w:r w:rsidR="00BC09AA">
        <w:rPr>
          <w:color w:val="auto"/>
          <w:sz w:val="22"/>
          <w:szCs w:val="22"/>
        </w:rPr>
        <w:t>ormed about potential, or alleged, corrupt</w:t>
      </w:r>
      <w:r w:rsidRPr="002A4D8E">
        <w:rPr>
          <w:color w:val="auto"/>
          <w:sz w:val="22"/>
          <w:szCs w:val="22"/>
        </w:rPr>
        <w:t xml:space="preserve"> </w:t>
      </w:r>
      <w:r w:rsidR="00BC09AA">
        <w:rPr>
          <w:color w:val="auto"/>
          <w:sz w:val="22"/>
          <w:szCs w:val="22"/>
        </w:rPr>
        <w:t>conduct of public sector officials within</w:t>
      </w:r>
      <w:r w:rsidRPr="002A4D8E">
        <w:rPr>
          <w:color w:val="auto"/>
          <w:sz w:val="22"/>
          <w:szCs w:val="22"/>
        </w:rPr>
        <w:t xml:space="preserve"> the </w:t>
      </w:r>
      <w:r w:rsidR="00BC09AA">
        <w:rPr>
          <w:color w:val="auto"/>
          <w:sz w:val="22"/>
          <w:szCs w:val="22"/>
        </w:rPr>
        <w:t xml:space="preserve">jurisdiction of the Queensland Crime and Corruption Commission.   This </w:t>
      </w:r>
      <w:r w:rsidR="001F6EF0">
        <w:rPr>
          <w:color w:val="auto"/>
          <w:sz w:val="22"/>
          <w:szCs w:val="22"/>
        </w:rPr>
        <w:t xml:space="preserve">jurisdiction </w:t>
      </w:r>
      <w:r w:rsidR="00BC09AA">
        <w:rPr>
          <w:color w:val="auto"/>
          <w:sz w:val="22"/>
          <w:szCs w:val="22"/>
        </w:rPr>
        <w:t>includes department</w:t>
      </w:r>
      <w:r w:rsidR="00642A5E">
        <w:rPr>
          <w:color w:val="auto"/>
          <w:sz w:val="22"/>
          <w:szCs w:val="22"/>
        </w:rPr>
        <w:t>s</w:t>
      </w:r>
      <w:r w:rsidR="00BC09AA">
        <w:rPr>
          <w:color w:val="auto"/>
          <w:sz w:val="22"/>
          <w:szCs w:val="22"/>
        </w:rPr>
        <w:t xml:space="preserve"> and statutory bodies; the Queensland Police Service; government-owned corporations; universities; local governments; courts, tribunals and boards; prisons and state and local politicians.</w:t>
      </w:r>
    </w:p>
    <w:p w:rsidR="00BC09AA" w:rsidRDefault="00BC09AA" w:rsidP="001F6EF0">
      <w:pPr>
        <w:pStyle w:val="Default"/>
        <w:rPr>
          <w:color w:val="auto"/>
          <w:sz w:val="22"/>
          <w:szCs w:val="22"/>
        </w:rPr>
      </w:pPr>
    </w:p>
    <w:p w:rsidR="008238FD" w:rsidRDefault="008238FD" w:rsidP="001F6EF0">
      <w:pPr>
        <w:pStyle w:val="Default"/>
        <w:rPr>
          <w:color w:val="auto"/>
          <w:sz w:val="22"/>
        </w:rPr>
      </w:pPr>
      <w:r>
        <w:rPr>
          <w:color w:val="auto"/>
          <w:sz w:val="22"/>
        </w:rPr>
        <w:t>In short, the public interest is served through the ability to make public the allegations of corrupt conduct by Queensland public officials.</w:t>
      </w:r>
      <w:r w:rsidR="006C5185">
        <w:rPr>
          <w:color w:val="auto"/>
          <w:sz w:val="22"/>
        </w:rPr>
        <w:t xml:space="preserve">  To gag </w:t>
      </w:r>
      <w:r w:rsidR="00392282">
        <w:rPr>
          <w:color w:val="auto"/>
          <w:sz w:val="22"/>
        </w:rPr>
        <w:t xml:space="preserve">corruption allegations regarding </w:t>
      </w:r>
      <w:r w:rsidR="00BC6756">
        <w:rPr>
          <w:color w:val="auto"/>
          <w:sz w:val="22"/>
        </w:rPr>
        <w:t>public officials</w:t>
      </w:r>
      <w:r w:rsidR="006C5185">
        <w:rPr>
          <w:color w:val="auto"/>
          <w:sz w:val="22"/>
        </w:rPr>
        <w:t xml:space="preserve"> </w:t>
      </w:r>
      <w:r w:rsidR="00392282">
        <w:rPr>
          <w:color w:val="auto"/>
          <w:sz w:val="22"/>
        </w:rPr>
        <w:t xml:space="preserve">only serves to </w:t>
      </w:r>
      <w:r w:rsidR="00BC6756">
        <w:rPr>
          <w:color w:val="auto"/>
          <w:sz w:val="22"/>
        </w:rPr>
        <w:t>do Queensland and the Queensland public a disservice.</w:t>
      </w:r>
    </w:p>
    <w:p w:rsidR="008238FD" w:rsidRDefault="008238FD" w:rsidP="001F6EF0">
      <w:pPr>
        <w:pStyle w:val="Default"/>
        <w:rPr>
          <w:color w:val="auto"/>
          <w:sz w:val="22"/>
        </w:rPr>
      </w:pPr>
    </w:p>
    <w:p w:rsidR="00F423B6" w:rsidRPr="00F423B6" w:rsidRDefault="00F423B6" w:rsidP="001F6EF0">
      <w:pPr>
        <w:pStyle w:val="Default"/>
        <w:rPr>
          <w:b/>
          <w:color w:val="0070C0"/>
        </w:rPr>
      </w:pPr>
      <w:r w:rsidRPr="00F423B6">
        <w:rPr>
          <w:b/>
          <w:color w:val="0070C0"/>
        </w:rPr>
        <w:t>SECTION A</w:t>
      </w:r>
    </w:p>
    <w:p w:rsidR="00F423B6" w:rsidRDefault="00F423B6" w:rsidP="001F6EF0">
      <w:pPr>
        <w:pStyle w:val="Default"/>
        <w:rPr>
          <w:color w:val="auto"/>
          <w:sz w:val="22"/>
        </w:rPr>
      </w:pPr>
    </w:p>
    <w:p w:rsidR="008238FD" w:rsidRDefault="00F423B6" w:rsidP="001F6EF0">
      <w:pPr>
        <w:pStyle w:val="Default"/>
        <w:rPr>
          <w:color w:val="auto"/>
          <w:sz w:val="22"/>
        </w:rPr>
      </w:pPr>
      <w:r>
        <w:rPr>
          <w:color w:val="auto"/>
          <w:sz w:val="22"/>
        </w:rPr>
        <w:t>Section A contains</w:t>
      </w:r>
      <w:r w:rsidR="008238FD">
        <w:rPr>
          <w:color w:val="auto"/>
          <w:sz w:val="22"/>
        </w:rPr>
        <w:t xml:space="preserve"> detailed analysis of the </w:t>
      </w:r>
      <w:r>
        <w:rPr>
          <w:color w:val="auto"/>
          <w:sz w:val="22"/>
        </w:rPr>
        <w:t>elements for consideration</w:t>
      </w:r>
      <w:r w:rsidR="008238FD">
        <w:rPr>
          <w:color w:val="auto"/>
          <w:sz w:val="22"/>
        </w:rPr>
        <w:t xml:space="preserve"> posed by the Queensland CCC</w:t>
      </w:r>
      <w:r>
        <w:rPr>
          <w:color w:val="auto"/>
          <w:sz w:val="22"/>
        </w:rPr>
        <w:t xml:space="preserve"> in the Discussion Paper</w:t>
      </w:r>
      <w:r w:rsidR="008238FD">
        <w:rPr>
          <w:color w:val="auto"/>
          <w:sz w:val="22"/>
        </w:rPr>
        <w:t>.</w:t>
      </w:r>
    </w:p>
    <w:p w:rsidR="00175656" w:rsidRDefault="00175656" w:rsidP="001F6EF0">
      <w:pPr>
        <w:pStyle w:val="Default"/>
        <w:rPr>
          <w:color w:val="auto"/>
          <w:sz w:val="22"/>
        </w:rPr>
      </w:pPr>
    </w:p>
    <w:p w:rsidR="00175656" w:rsidRPr="00175656" w:rsidRDefault="00573CC4" w:rsidP="001F6EF0">
      <w:pPr>
        <w:pStyle w:val="Default"/>
        <w:rPr>
          <w:b/>
          <w:color w:val="auto"/>
          <w:sz w:val="22"/>
        </w:rPr>
      </w:pPr>
      <w:r w:rsidRPr="00175656">
        <w:rPr>
          <w:b/>
          <w:color w:val="auto"/>
          <w:sz w:val="22"/>
        </w:rPr>
        <w:t>OPEN, TRANSPARENT AND ACCOUNTABLE GOVERNMENT</w:t>
      </w:r>
    </w:p>
    <w:p w:rsidR="00175656" w:rsidRPr="003028F4" w:rsidRDefault="00175656" w:rsidP="001F6EF0">
      <w:pPr>
        <w:pStyle w:val="Default"/>
        <w:rPr>
          <w:color w:val="auto"/>
          <w:sz w:val="22"/>
          <w:szCs w:val="22"/>
        </w:rPr>
      </w:pPr>
    </w:p>
    <w:p w:rsidR="00573CC4" w:rsidRDefault="00573CC4" w:rsidP="00573CC4">
      <w:pPr>
        <w:rPr>
          <w:rFonts w:cs="Arial"/>
          <w:color w:val="000000"/>
        </w:rPr>
      </w:pPr>
      <w:r>
        <w:rPr>
          <w:rFonts w:cs="Arial"/>
          <w:color w:val="000000"/>
        </w:rPr>
        <w:t>The</w:t>
      </w:r>
      <w:r w:rsidRPr="00DD7B11">
        <w:rPr>
          <w:rFonts w:cs="Arial"/>
          <w:color w:val="000000"/>
        </w:rPr>
        <w:t xml:space="preserve"> protection of political </w:t>
      </w:r>
      <w:r>
        <w:rPr>
          <w:rFonts w:cs="Arial"/>
          <w:color w:val="000000"/>
        </w:rPr>
        <w:t>or public sector interests in Queensland must not be allowed to trump the Queensland publics’ right to know of allegations in their own backyard.</w:t>
      </w:r>
    </w:p>
    <w:p w:rsidR="00573CC4" w:rsidRDefault="00573CC4" w:rsidP="003028F4">
      <w:pPr>
        <w:rPr>
          <w:rFonts w:eastAsia="Times New Roman" w:cs="Arial"/>
          <w:iCs/>
          <w:lang w:eastAsia="en-AU"/>
        </w:rPr>
      </w:pPr>
    </w:p>
    <w:p w:rsidR="003028F4" w:rsidRPr="00B1438A" w:rsidRDefault="00B1438A" w:rsidP="003028F4">
      <w:pPr>
        <w:rPr>
          <w:rFonts w:eastAsia="Times New Roman" w:cs="Arial"/>
          <w:iCs/>
          <w:lang w:eastAsia="en-AU"/>
        </w:rPr>
      </w:pPr>
      <w:r w:rsidRPr="00B1438A">
        <w:rPr>
          <w:rFonts w:eastAsia="Times New Roman" w:cs="Arial"/>
          <w:iCs/>
          <w:lang w:eastAsia="en-AU"/>
        </w:rPr>
        <w:t>The Discussion Paper states that p</w:t>
      </w:r>
      <w:r w:rsidR="003028F4" w:rsidRPr="00B1438A">
        <w:rPr>
          <w:rFonts w:eastAsia="Times New Roman" w:cs="Arial"/>
          <w:iCs/>
          <w:lang w:eastAsia="en-AU"/>
        </w:rPr>
        <w:t>ublic discussion and debate are important elements of open, transparent and accoun</w:t>
      </w:r>
      <w:r w:rsidRPr="00B1438A">
        <w:rPr>
          <w:rFonts w:eastAsia="Times New Roman" w:cs="Arial"/>
          <w:iCs/>
          <w:lang w:eastAsia="en-AU"/>
        </w:rPr>
        <w:t>table government, and that o</w:t>
      </w:r>
      <w:r w:rsidR="003028F4" w:rsidRPr="00B1438A">
        <w:rPr>
          <w:rFonts w:eastAsia="Times New Roman" w:cs="Arial"/>
          <w:iCs/>
          <w:lang w:eastAsia="en-AU"/>
        </w:rPr>
        <w:t>pen discourse informs the development of opinions, allowing people to participate more fully in their government and hold elected and other public officials to account.</w:t>
      </w:r>
    </w:p>
    <w:p w:rsidR="00B1438A" w:rsidRPr="00B1438A" w:rsidRDefault="00B1438A" w:rsidP="003028F4">
      <w:pPr>
        <w:rPr>
          <w:rFonts w:eastAsia="Times New Roman" w:cs="Arial"/>
          <w:iCs/>
          <w:lang w:eastAsia="en-AU"/>
        </w:rPr>
      </w:pPr>
      <w:r w:rsidRPr="00B1438A">
        <w:rPr>
          <w:rFonts w:eastAsia="Times New Roman" w:cs="Arial"/>
          <w:iCs/>
          <w:lang w:eastAsia="en-AU"/>
        </w:rPr>
        <w:t>We agree with this position.</w:t>
      </w:r>
    </w:p>
    <w:p w:rsidR="00B1438A" w:rsidRDefault="00B1438A" w:rsidP="003028F4">
      <w:pPr>
        <w:rPr>
          <w:rFonts w:eastAsia="Times New Roman" w:cs="Arial"/>
          <w:iCs/>
          <w:color w:val="222222"/>
          <w:lang w:eastAsia="en-AU"/>
        </w:rPr>
      </w:pPr>
    </w:p>
    <w:p w:rsidR="00B1438A" w:rsidRDefault="000F2306" w:rsidP="00B1438A">
      <w:pPr>
        <w:rPr>
          <w:rFonts w:cs="Arial"/>
          <w:color w:val="000000"/>
        </w:rPr>
      </w:pPr>
      <w:r>
        <w:rPr>
          <w:rFonts w:cs="Arial"/>
          <w:color w:val="000000"/>
        </w:rPr>
        <w:t>The</w:t>
      </w:r>
      <w:r w:rsidR="00B1438A" w:rsidRPr="00DD7B11">
        <w:rPr>
          <w:rFonts w:cs="Arial"/>
          <w:color w:val="000000"/>
        </w:rPr>
        <w:t xml:space="preserve"> media plays a crucial role in a democracy in accessing, analysing and disseminating information about issues and eve</w:t>
      </w:r>
      <w:r w:rsidR="00B1438A">
        <w:rPr>
          <w:rFonts w:cs="Arial"/>
          <w:color w:val="000000"/>
        </w:rPr>
        <w:t>nts which affect our community – including holding elected and other public officials to account.</w:t>
      </w:r>
      <w:r>
        <w:rPr>
          <w:rFonts w:cs="Arial"/>
          <w:color w:val="000000"/>
        </w:rPr>
        <w:t xml:space="preserve">  This has been evidenced previously in Queensland, and also in every other state and territory and at the national level. </w:t>
      </w:r>
    </w:p>
    <w:p w:rsidR="00B1438A" w:rsidRDefault="00B1438A" w:rsidP="00B1438A">
      <w:pPr>
        <w:rPr>
          <w:rFonts w:cs="Arial"/>
          <w:color w:val="000000"/>
        </w:rPr>
      </w:pPr>
    </w:p>
    <w:p w:rsidR="003951AD" w:rsidRDefault="000F2306" w:rsidP="00B1438A">
      <w:pPr>
        <w:rPr>
          <w:rFonts w:cs="Arial"/>
          <w:color w:val="000000"/>
        </w:rPr>
      </w:pPr>
      <w:r>
        <w:rPr>
          <w:rFonts w:cs="Arial"/>
          <w:color w:val="000000"/>
        </w:rPr>
        <w:t xml:space="preserve">The unhindered ability for public scrutiny of allegations of corruption is a vital aspect of open, </w:t>
      </w:r>
      <w:r w:rsidR="00B1438A" w:rsidRPr="00DD7B11">
        <w:rPr>
          <w:rFonts w:cs="Arial"/>
          <w:color w:val="000000"/>
        </w:rPr>
        <w:t xml:space="preserve">transparent </w:t>
      </w:r>
      <w:r>
        <w:rPr>
          <w:rFonts w:cs="Arial"/>
          <w:color w:val="000000"/>
        </w:rPr>
        <w:t xml:space="preserve">and accountable </w:t>
      </w:r>
      <w:r w:rsidR="00B1438A" w:rsidRPr="00DD7B11">
        <w:rPr>
          <w:rFonts w:cs="Arial"/>
          <w:color w:val="000000"/>
        </w:rPr>
        <w:t>government</w:t>
      </w:r>
      <w:r>
        <w:rPr>
          <w:rFonts w:cs="Arial"/>
          <w:color w:val="000000"/>
        </w:rPr>
        <w:t xml:space="preserve"> in Queensland.  It</w:t>
      </w:r>
      <w:r w:rsidR="00B1438A" w:rsidRPr="00DD7B11">
        <w:rPr>
          <w:rFonts w:cs="Arial"/>
          <w:color w:val="000000"/>
        </w:rPr>
        <w:t xml:space="preserve"> is critical </w:t>
      </w:r>
      <w:r>
        <w:rPr>
          <w:rFonts w:cs="Arial"/>
          <w:color w:val="000000"/>
        </w:rPr>
        <w:t xml:space="preserve">for all Queenslanders that reporting of allegations of corruption </w:t>
      </w:r>
      <w:r w:rsidR="00B1438A">
        <w:rPr>
          <w:rFonts w:cs="Arial"/>
          <w:color w:val="000000"/>
        </w:rPr>
        <w:t>not</w:t>
      </w:r>
      <w:r>
        <w:rPr>
          <w:rFonts w:cs="Arial"/>
          <w:color w:val="000000"/>
        </w:rPr>
        <w:t xml:space="preserve"> be constrained.  </w:t>
      </w:r>
    </w:p>
    <w:p w:rsidR="00573CC4" w:rsidRDefault="00573CC4" w:rsidP="00B1438A">
      <w:pPr>
        <w:rPr>
          <w:rFonts w:cs="Arial"/>
          <w:color w:val="000000"/>
        </w:rPr>
      </w:pPr>
    </w:p>
    <w:p w:rsidR="00175656" w:rsidRPr="00175656" w:rsidRDefault="00166E49" w:rsidP="001F6EF0">
      <w:pPr>
        <w:pStyle w:val="Default"/>
        <w:rPr>
          <w:b/>
          <w:color w:val="auto"/>
          <w:sz w:val="22"/>
        </w:rPr>
      </w:pPr>
      <w:r w:rsidRPr="00175656">
        <w:rPr>
          <w:b/>
          <w:color w:val="auto"/>
          <w:sz w:val="22"/>
        </w:rPr>
        <w:t>FREEDOM OF SPEECH</w:t>
      </w:r>
    </w:p>
    <w:p w:rsidR="00700933" w:rsidRDefault="00700933" w:rsidP="00CF3875">
      <w:pPr>
        <w:rPr>
          <w:rFonts w:eastAsia="Times New Roman" w:cs="Arial"/>
          <w:iCs/>
          <w:color w:val="222222"/>
          <w:lang w:eastAsia="en-AU"/>
        </w:rPr>
      </w:pPr>
    </w:p>
    <w:p w:rsidR="0078206F" w:rsidRDefault="0078206F" w:rsidP="0078206F">
      <w:pPr>
        <w:rPr>
          <w:rFonts w:eastAsia="Times New Roman" w:cs="Arial"/>
          <w:iCs/>
          <w:lang w:eastAsia="en-AU"/>
        </w:rPr>
      </w:pPr>
      <w:r>
        <w:rPr>
          <w:rFonts w:eastAsia="Times New Roman" w:cs="Arial"/>
          <w:iCs/>
          <w:lang w:eastAsia="en-AU"/>
        </w:rPr>
        <w:t xml:space="preserve">The proposal in the Discussion Paper – that legislation and/or other measures be introduced to prevent allegations of corrupt conduct within the Queensland public sector being made public – unjustifiably undermines the Queensland and Australian public’s right to know about how the state of Queensland is being governed and administered.  </w:t>
      </w:r>
    </w:p>
    <w:p w:rsidR="0078206F" w:rsidRDefault="0078206F" w:rsidP="00CF3875">
      <w:pPr>
        <w:rPr>
          <w:rFonts w:eastAsia="Times New Roman" w:cs="Arial"/>
          <w:iCs/>
          <w:color w:val="222222"/>
          <w:lang w:eastAsia="en-AU"/>
        </w:rPr>
      </w:pPr>
    </w:p>
    <w:p w:rsidR="00392282" w:rsidRDefault="00392282" w:rsidP="00700933">
      <w:pPr>
        <w:rPr>
          <w:rFonts w:eastAsia="Cambria"/>
          <w:u w:val="single"/>
        </w:rPr>
      </w:pPr>
    </w:p>
    <w:p w:rsidR="00700933" w:rsidRPr="00700933" w:rsidRDefault="00700933" w:rsidP="00700933">
      <w:pPr>
        <w:rPr>
          <w:rFonts w:eastAsia="Cambria"/>
          <w:u w:val="single"/>
        </w:rPr>
      </w:pPr>
      <w:r w:rsidRPr="00700933">
        <w:rPr>
          <w:rFonts w:eastAsia="Cambria"/>
          <w:u w:val="single"/>
        </w:rPr>
        <w:lastRenderedPageBreak/>
        <w:t>Overarching issue – Australia lacks a legislative protection for freedom of speech</w:t>
      </w:r>
    </w:p>
    <w:p w:rsidR="00700933" w:rsidRDefault="00700933" w:rsidP="00700933">
      <w:pPr>
        <w:autoSpaceDE w:val="0"/>
        <w:autoSpaceDN w:val="0"/>
        <w:adjustRightInd w:val="0"/>
        <w:rPr>
          <w:rFonts w:eastAsia="Cambria" w:cs="Calibri"/>
          <w:color w:val="000000"/>
        </w:rPr>
      </w:pPr>
    </w:p>
    <w:p w:rsidR="00700933" w:rsidRPr="00001F76" w:rsidRDefault="00700933" w:rsidP="00700933">
      <w:pPr>
        <w:autoSpaceDE w:val="0"/>
        <w:autoSpaceDN w:val="0"/>
        <w:adjustRightInd w:val="0"/>
        <w:rPr>
          <w:rFonts w:eastAsia="Cambria" w:cs="Calibri"/>
          <w:color w:val="000000"/>
        </w:rPr>
      </w:pPr>
      <w:r w:rsidRPr="00001F76">
        <w:rPr>
          <w:rFonts w:eastAsia="Cambria" w:cs="Calibri"/>
          <w:color w:val="000000"/>
        </w:rPr>
        <w:t xml:space="preserve">The right to free speech, a free media and access to information are fundamental to Australia’s modern democratic society, a society that prides itself on openness, responsibility and accountability.   </w:t>
      </w:r>
    </w:p>
    <w:p w:rsidR="00700933" w:rsidRPr="00001F76" w:rsidRDefault="00700933" w:rsidP="00700933">
      <w:pPr>
        <w:autoSpaceDE w:val="0"/>
        <w:autoSpaceDN w:val="0"/>
        <w:adjustRightInd w:val="0"/>
        <w:rPr>
          <w:rFonts w:eastAsia="Cambria" w:cs="Calibri"/>
          <w:color w:val="000000"/>
        </w:rPr>
      </w:pPr>
    </w:p>
    <w:p w:rsidR="00700933" w:rsidRPr="00001F76" w:rsidRDefault="00700933" w:rsidP="00700933">
      <w:pPr>
        <w:autoSpaceDE w:val="0"/>
        <w:autoSpaceDN w:val="0"/>
        <w:adjustRightInd w:val="0"/>
        <w:rPr>
          <w:rFonts w:eastAsia="Cambria"/>
          <w:iCs/>
        </w:rPr>
      </w:pPr>
      <w:r w:rsidRPr="00001F76">
        <w:rPr>
          <w:rFonts w:eastAsia="Cambria" w:cs="Calibri"/>
          <w:color w:val="000000"/>
        </w:rPr>
        <w:t>However, unlike some comparable modern democracies, Australia has no laws enshrining these rights. In the United States of America the right to freedom of communication and freedom of the press are enshrined</w:t>
      </w:r>
      <w:r w:rsidRPr="00001F76">
        <w:rPr>
          <w:rFonts w:eastAsia="Cambria"/>
        </w:rPr>
        <w:t xml:space="preserve"> in the First Amendment of the Constitution and enacted by state and federal laws.  In the United Kingdom, freedom of expression is protected under section 12 of the </w:t>
      </w:r>
      <w:r w:rsidRPr="00001F76">
        <w:rPr>
          <w:rFonts w:eastAsia="Cambria"/>
          <w:i/>
          <w:iCs/>
        </w:rPr>
        <w:t>Human Rights Act 1998</w:t>
      </w:r>
      <w:r w:rsidRPr="00001F76">
        <w:rPr>
          <w:rFonts w:eastAsia="Cambria"/>
          <w:iCs/>
        </w:rPr>
        <w:t xml:space="preserve"> subject to appropriate restrictions to protect other rights that are considered necessary in a democratic society.</w:t>
      </w:r>
    </w:p>
    <w:p w:rsidR="00700933" w:rsidRPr="00001F76" w:rsidRDefault="00700933" w:rsidP="00700933">
      <w:pPr>
        <w:autoSpaceDE w:val="0"/>
        <w:autoSpaceDN w:val="0"/>
        <w:adjustRightInd w:val="0"/>
        <w:rPr>
          <w:rFonts w:eastAsia="Cambria" w:cs="Calibri"/>
          <w:color w:val="000000"/>
        </w:rPr>
      </w:pPr>
    </w:p>
    <w:p w:rsidR="00700933" w:rsidRDefault="00700933" w:rsidP="00700933">
      <w:pPr>
        <w:autoSpaceDE w:val="0"/>
        <w:autoSpaceDN w:val="0"/>
        <w:adjustRightInd w:val="0"/>
        <w:rPr>
          <w:rFonts w:eastAsia="Cambria" w:cs="Calibri"/>
          <w:color w:val="000000"/>
        </w:rPr>
      </w:pPr>
      <w:r w:rsidRPr="00001F76">
        <w:rPr>
          <w:rFonts w:eastAsia="Cambria" w:cs="Calibri"/>
          <w:color w:val="000000"/>
        </w:rPr>
        <w:t xml:space="preserve">In the absence of such clear protections, there are a number of keystones that are fundamental in Australia to ensure </w:t>
      </w:r>
      <w:r>
        <w:rPr>
          <w:rFonts w:eastAsia="Cambria" w:cs="Calibri"/>
          <w:color w:val="000000"/>
        </w:rPr>
        <w:t>the public’</w:t>
      </w:r>
      <w:r w:rsidR="00317868">
        <w:rPr>
          <w:rFonts w:eastAsia="Cambria" w:cs="Calibri"/>
          <w:color w:val="000000"/>
        </w:rPr>
        <w:t xml:space="preserve">s right to know – </w:t>
      </w:r>
      <w:r>
        <w:rPr>
          <w:rFonts w:eastAsia="Cambria" w:cs="Calibri"/>
          <w:color w:val="000000"/>
        </w:rPr>
        <w:t>including regarding allegations of corr</w:t>
      </w:r>
      <w:r w:rsidR="00317868">
        <w:rPr>
          <w:rFonts w:eastAsia="Cambria" w:cs="Calibri"/>
          <w:color w:val="000000"/>
        </w:rPr>
        <w:t>uption of</w:t>
      </w:r>
      <w:r w:rsidR="004C4CD9">
        <w:rPr>
          <w:rFonts w:eastAsia="Cambria" w:cs="Calibri"/>
          <w:color w:val="000000"/>
        </w:rPr>
        <w:t xml:space="preserve"> </w:t>
      </w:r>
      <w:r w:rsidR="00E710BE">
        <w:rPr>
          <w:rFonts w:eastAsia="Cambria" w:cs="Calibri"/>
          <w:color w:val="000000"/>
        </w:rPr>
        <w:t xml:space="preserve">Queensland </w:t>
      </w:r>
      <w:r w:rsidR="00317868">
        <w:rPr>
          <w:rFonts w:eastAsia="Cambria" w:cs="Calibri"/>
          <w:color w:val="000000"/>
        </w:rPr>
        <w:t>public sector officials:</w:t>
      </w:r>
    </w:p>
    <w:p w:rsidR="0078206F" w:rsidRPr="00001F76" w:rsidRDefault="0078206F" w:rsidP="00700933">
      <w:pPr>
        <w:autoSpaceDE w:val="0"/>
        <w:autoSpaceDN w:val="0"/>
        <w:adjustRightInd w:val="0"/>
        <w:rPr>
          <w:rFonts w:eastAsia="Cambria" w:cs="Calibri"/>
          <w:color w:val="000000"/>
        </w:rPr>
      </w:pPr>
    </w:p>
    <w:p w:rsidR="00700933" w:rsidRPr="00001F76" w:rsidRDefault="00700933" w:rsidP="00700933">
      <w:pPr>
        <w:numPr>
          <w:ilvl w:val="0"/>
          <w:numId w:val="18"/>
        </w:numPr>
        <w:autoSpaceDE w:val="0"/>
        <w:autoSpaceDN w:val="0"/>
        <w:adjustRightInd w:val="0"/>
        <w:rPr>
          <w:rFonts w:eastAsia="Cambria" w:cs="Calibri"/>
          <w:color w:val="000000"/>
        </w:rPr>
      </w:pPr>
      <w:r w:rsidRPr="00001F76">
        <w:rPr>
          <w:rFonts w:eastAsia="Cambria" w:cs="Calibri"/>
          <w:color w:val="000000"/>
        </w:rPr>
        <w:t xml:space="preserve">The ability for journalists to go about their ordinary business and report in the public interest without </w:t>
      </w:r>
      <w:r>
        <w:rPr>
          <w:rFonts w:eastAsia="Cambria" w:cs="Calibri"/>
          <w:color w:val="000000"/>
        </w:rPr>
        <w:t>the risk of being prosecuted, including jailed, for public interest reporting;</w:t>
      </w:r>
    </w:p>
    <w:p w:rsidR="00700933" w:rsidRPr="00001F76" w:rsidRDefault="00700933" w:rsidP="00700933">
      <w:pPr>
        <w:numPr>
          <w:ilvl w:val="0"/>
          <w:numId w:val="18"/>
        </w:numPr>
        <w:autoSpaceDE w:val="0"/>
        <w:autoSpaceDN w:val="0"/>
        <w:adjustRightInd w:val="0"/>
        <w:rPr>
          <w:rFonts w:eastAsia="Cambria" w:cs="Calibri"/>
          <w:color w:val="000000"/>
        </w:rPr>
      </w:pPr>
      <w:r w:rsidRPr="00001F76">
        <w:rPr>
          <w:rFonts w:eastAsia="Cambria" w:cs="Calibri"/>
          <w:color w:val="000000"/>
        </w:rPr>
        <w:t>Protection of confidential sources;</w:t>
      </w:r>
    </w:p>
    <w:p w:rsidR="00700933" w:rsidRPr="00001F76" w:rsidRDefault="00700933" w:rsidP="00700933">
      <w:pPr>
        <w:numPr>
          <w:ilvl w:val="0"/>
          <w:numId w:val="18"/>
        </w:numPr>
        <w:autoSpaceDE w:val="0"/>
        <w:autoSpaceDN w:val="0"/>
        <w:adjustRightInd w:val="0"/>
        <w:rPr>
          <w:rFonts w:eastAsia="Cambria" w:cs="Calibri"/>
          <w:color w:val="000000"/>
        </w:rPr>
      </w:pPr>
      <w:r w:rsidRPr="00001F76">
        <w:rPr>
          <w:rFonts w:eastAsia="Cambria" w:cs="Calibri"/>
          <w:color w:val="000000"/>
        </w:rPr>
        <w:t xml:space="preserve">Protection for whistle-blowers; and </w:t>
      </w:r>
    </w:p>
    <w:p w:rsidR="00D16140" w:rsidRPr="00D16140" w:rsidRDefault="00700933" w:rsidP="00CF3875">
      <w:pPr>
        <w:numPr>
          <w:ilvl w:val="0"/>
          <w:numId w:val="18"/>
        </w:numPr>
        <w:autoSpaceDE w:val="0"/>
        <w:autoSpaceDN w:val="0"/>
        <w:adjustRightInd w:val="0"/>
        <w:rPr>
          <w:rFonts w:eastAsia="Cambria" w:cs="Calibri"/>
          <w:color w:val="000000"/>
        </w:rPr>
      </w:pPr>
      <w:r w:rsidRPr="00001F76">
        <w:rPr>
          <w:rFonts w:eastAsia="Cambria" w:cs="Calibri"/>
          <w:color w:val="000000"/>
        </w:rPr>
        <w:t>An appropriate balance of power between the judiciary, the executive, the legislature and the media.</w:t>
      </w:r>
    </w:p>
    <w:p w:rsidR="00D16140" w:rsidRPr="004C4CD9" w:rsidRDefault="00D16140" w:rsidP="00CF3875">
      <w:pPr>
        <w:rPr>
          <w:rFonts w:eastAsia="Times New Roman" w:cs="Arial"/>
          <w:iCs/>
          <w:lang w:eastAsia="en-AU"/>
        </w:rPr>
      </w:pPr>
    </w:p>
    <w:p w:rsidR="00700933" w:rsidRDefault="004C4CD9" w:rsidP="00CF3875">
      <w:pPr>
        <w:rPr>
          <w:rFonts w:eastAsia="Times New Roman" w:cs="Arial"/>
          <w:iCs/>
          <w:lang w:eastAsia="en-AU"/>
        </w:rPr>
      </w:pPr>
      <w:r>
        <w:rPr>
          <w:rFonts w:eastAsia="Times New Roman" w:cs="Arial"/>
          <w:iCs/>
          <w:lang w:eastAsia="en-AU"/>
        </w:rPr>
        <w:t>The proposal in the Discussion Paper – that legislation and/or other measures</w:t>
      </w:r>
      <w:r w:rsidR="00926334">
        <w:rPr>
          <w:rFonts w:eastAsia="Times New Roman" w:cs="Arial"/>
          <w:iCs/>
          <w:lang w:eastAsia="en-AU"/>
        </w:rPr>
        <w:t xml:space="preserve"> be introduced to</w:t>
      </w:r>
      <w:r>
        <w:rPr>
          <w:rFonts w:eastAsia="Times New Roman" w:cs="Arial"/>
          <w:iCs/>
          <w:lang w:eastAsia="en-AU"/>
        </w:rPr>
        <w:t xml:space="preserve"> prevent allegations of corrupt conduct within the Queensland public sector </w:t>
      </w:r>
      <w:r w:rsidR="00926334">
        <w:rPr>
          <w:rFonts w:eastAsia="Times New Roman" w:cs="Arial"/>
          <w:iCs/>
          <w:lang w:eastAsia="en-AU"/>
        </w:rPr>
        <w:t xml:space="preserve">being made </w:t>
      </w:r>
      <w:r>
        <w:rPr>
          <w:rFonts w:eastAsia="Times New Roman" w:cs="Arial"/>
          <w:iCs/>
          <w:lang w:eastAsia="en-AU"/>
        </w:rPr>
        <w:t xml:space="preserve">public – </w:t>
      </w:r>
      <w:r w:rsidR="003968A9">
        <w:rPr>
          <w:rFonts w:eastAsia="Times New Roman" w:cs="Arial"/>
          <w:iCs/>
          <w:lang w:eastAsia="en-AU"/>
        </w:rPr>
        <w:t xml:space="preserve">unjustifiably </w:t>
      </w:r>
      <w:r>
        <w:rPr>
          <w:rFonts w:eastAsia="Times New Roman" w:cs="Arial"/>
          <w:iCs/>
          <w:lang w:eastAsia="en-AU"/>
        </w:rPr>
        <w:t>undermines the Queensland and Australian public’s right to know about how the state of Queensland is being governed and administered.</w:t>
      </w:r>
      <w:r w:rsidR="00926334">
        <w:rPr>
          <w:rFonts w:eastAsia="Times New Roman" w:cs="Arial"/>
          <w:iCs/>
          <w:lang w:eastAsia="en-AU"/>
        </w:rPr>
        <w:t xml:space="preserve">  </w:t>
      </w:r>
    </w:p>
    <w:p w:rsidR="003968A9" w:rsidRDefault="003968A9" w:rsidP="00CF3875">
      <w:pPr>
        <w:rPr>
          <w:rFonts w:eastAsia="Times New Roman" w:cs="Arial"/>
          <w:iCs/>
          <w:lang w:eastAsia="en-AU"/>
        </w:rPr>
      </w:pPr>
    </w:p>
    <w:p w:rsidR="008374BD" w:rsidRPr="008374BD" w:rsidRDefault="008374BD" w:rsidP="00CF3875">
      <w:pPr>
        <w:rPr>
          <w:rFonts w:eastAsia="Times New Roman" w:cs="Arial"/>
          <w:iCs/>
          <w:u w:val="single"/>
          <w:lang w:eastAsia="en-AU"/>
        </w:rPr>
      </w:pPr>
      <w:r w:rsidRPr="008374BD">
        <w:rPr>
          <w:rFonts w:eastAsia="Times New Roman" w:cs="Arial"/>
          <w:iCs/>
          <w:u w:val="single"/>
          <w:lang w:eastAsia="en-AU"/>
        </w:rPr>
        <w:t>Importance of jurisprudence and implied freedom of political communication</w:t>
      </w:r>
    </w:p>
    <w:p w:rsidR="008374BD" w:rsidRDefault="008374BD" w:rsidP="00CF3875">
      <w:pPr>
        <w:rPr>
          <w:rFonts w:eastAsia="Times New Roman" w:cs="Arial"/>
          <w:iCs/>
          <w:lang w:eastAsia="en-AU"/>
        </w:rPr>
      </w:pPr>
    </w:p>
    <w:p w:rsidR="006073A2" w:rsidRDefault="006073A2" w:rsidP="00CF3875">
      <w:pPr>
        <w:rPr>
          <w:rFonts w:eastAsia="Times New Roman" w:cs="Arial"/>
          <w:iCs/>
          <w:lang w:eastAsia="en-AU"/>
        </w:rPr>
      </w:pPr>
      <w:r>
        <w:rPr>
          <w:rFonts w:eastAsia="Times New Roman" w:cs="Arial"/>
          <w:iCs/>
          <w:lang w:eastAsia="en-AU"/>
        </w:rPr>
        <w:t>In prompting the consideration of</w:t>
      </w:r>
      <w:r w:rsidR="003968A9">
        <w:rPr>
          <w:rFonts w:eastAsia="Times New Roman" w:cs="Arial"/>
          <w:iCs/>
          <w:lang w:eastAsia="en-AU"/>
        </w:rPr>
        <w:t xml:space="preserve"> freedom of speech,</w:t>
      </w:r>
      <w:r>
        <w:rPr>
          <w:rFonts w:eastAsia="Times New Roman" w:cs="Arial"/>
          <w:iCs/>
          <w:lang w:eastAsia="en-AU"/>
        </w:rPr>
        <w:t xml:space="preserve"> the Discussion Paper</w:t>
      </w:r>
      <w:r w:rsidR="003968A9">
        <w:rPr>
          <w:rFonts w:eastAsia="Times New Roman" w:cs="Arial"/>
          <w:iCs/>
          <w:lang w:eastAsia="en-AU"/>
        </w:rPr>
        <w:t xml:space="preserve"> includes reference to some of the number of existing legislative limitations on freedom of speech, for example defamation, privacy and anti-discrimination law.  Such laws</w:t>
      </w:r>
      <w:r>
        <w:rPr>
          <w:rFonts w:eastAsia="Times New Roman" w:cs="Arial"/>
          <w:iCs/>
          <w:lang w:eastAsia="en-AU"/>
        </w:rPr>
        <w:t xml:space="preserve"> and associated and evolving jurisprudence </w:t>
      </w:r>
      <w:r w:rsidR="003968A9">
        <w:rPr>
          <w:rFonts w:eastAsia="Times New Roman" w:cs="Arial"/>
          <w:iCs/>
          <w:lang w:eastAsia="en-AU"/>
        </w:rPr>
        <w:t>provide parameters</w:t>
      </w:r>
      <w:r>
        <w:rPr>
          <w:rFonts w:eastAsia="Times New Roman" w:cs="Arial"/>
          <w:iCs/>
          <w:lang w:eastAsia="en-AU"/>
        </w:rPr>
        <w:t xml:space="preserve"> for freedom of speech.  They also provide important indicators and input for the CCC to consider in the context of this Discussion Paper.</w:t>
      </w:r>
    </w:p>
    <w:p w:rsidR="00CF3875" w:rsidRDefault="006073A2" w:rsidP="00893CC9">
      <w:pPr>
        <w:rPr>
          <w:rFonts w:eastAsia="Times New Roman" w:cs="Arial"/>
          <w:lang w:eastAsia="en-AU"/>
        </w:rPr>
      </w:pPr>
      <w:r>
        <w:rPr>
          <w:rFonts w:eastAsia="Times New Roman" w:cs="Arial"/>
          <w:iCs/>
          <w:lang w:eastAsia="en-AU"/>
        </w:rPr>
        <w:br/>
        <w:t xml:space="preserve">We draw particular attention to </w:t>
      </w:r>
      <w:r w:rsidRPr="006073A2">
        <w:rPr>
          <w:rFonts w:eastAsia="Times New Roman" w:cs="Arial"/>
          <w:i/>
          <w:iCs/>
          <w:lang w:eastAsia="en-AU"/>
        </w:rPr>
        <w:t>Lange v Australian Broadcasting Commission (1997)</w:t>
      </w:r>
      <w:r w:rsidRPr="006073A2">
        <w:rPr>
          <w:rStyle w:val="FootnoteReference"/>
          <w:rFonts w:eastAsia="Times New Roman" w:cs="Arial"/>
          <w:i/>
          <w:iCs/>
          <w:lang w:eastAsia="en-AU"/>
        </w:rPr>
        <w:footnoteReference w:id="1"/>
      </w:r>
      <w:r w:rsidR="00893CC9">
        <w:rPr>
          <w:rFonts w:eastAsia="Times New Roman" w:cs="Arial"/>
          <w:i/>
          <w:iCs/>
          <w:lang w:eastAsia="en-AU"/>
        </w:rPr>
        <w:t>.</w:t>
      </w:r>
      <w:r w:rsidR="00893CC9">
        <w:rPr>
          <w:rFonts w:eastAsia="Times New Roman" w:cs="Arial"/>
          <w:iCs/>
          <w:lang w:eastAsia="en-AU"/>
        </w:rPr>
        <w:t xml:space="preserve">  This case is notable i</w:t>
      </w:r>
      <w:r w:rsidR="00342B77">
        <w:rPr>
          <w:rFonts w:eastAsia="Times New Roman" w:cs="Arial"/>
          <w:iCs/>
          <w:lang w:eastAsia="en-AU"/>
        </w:rPr>
        <w:t xml:space="preserve">n the context of the CCC as, with </w:t>
      </w:r>
      <w:r w:rsidR="00342B77">
        <w:rPr>
          <w:rFonts w:eastAsia="Times New Roman" w:cs="Arial"/>
          <w:lang w:eastAsia="en-AU"/>
        </w:rPr>
        <w:t>respect to the CCC</w:t>
      </w:r>
      <w:r w:rsidR="00CF3875" w:rsidRPr="004C4CD9">
        <w:rPr>
          <w:rFonts w:eastAsia="Times New Roman" w:cs="Arial"/>
          <w:lang w:eastAsia="en-AU"/>
        </w:rPr>
        <w:t xml:space="preserve"> investi</w:t>
      </w:r>
      <w:r w:rsidR="001202B7">
        <w:rPr>
          <w:rFonts w:eastAsia="Times New Roman" w:cs="Arial"/>
          <w:lang w:eastAsia="en-AU"/>
        </w:rPr>
        <w:t>gatio</w:t>
      </w:r>
      <w:r w:rsidR="00342B77">
        <w:rPr>
          <w:rFonts w:eastAsia="Times New Roman" w:cs="Arial"/>
          <w:lang w:eastAsia="en-AU"/>
        </w:rPr>
        <w:t>ns into corrupt conduct, it</w:t>
      </w:r>
      <w:r w:rsidR="00CF3875" w:rsidRPr="004C4CD9">
        <w:rPr>
          <w:rFonts w:eastAsia="Times New Roman" w:cs="Arial"/>
          <w:lang w:eastAsia="en-AU"/>
        </w:rPr>
        <w:t xml:space="preserve"> can only investigate those holding public office per</w:t>
      </w:r>
      <w:r w:rsidR="001202B7">
        <w:rPr>
          <w:rFonts w:eastAsia="Times New Roman" w:cs="Arial"/>
          <w:lang w:eastAsia="en-AU"/>
        </w:rPr>
        <w:t xml:space="preserve"> section 15 of the </w:t>
      </w:r>
      <w:r w:rsidR="001202B7" w:rsidRPr="001202B7">
        <w:rPr>
          <w:rFonts w:eastAsia="Times New Roman" w:cs="Arial"/>
          <w:i/>
          <w:lang w:eastAsia="en-AU"/>
        </w:rPr>
        <w:t>Crime and Corruption Act 2001 (Qld</w:t>
      </w:r>
      <w:r w:rsidR="001202B7">
        <w:rPr>
          <w:rStyle w:val="FootnoteReference"/>
          <w:rFonts w:eastAsia="Times New Roman" w:cs="Arial"/>
          <w:i/>
          <w:lang w:eastAsia="en-AU"/>
        </w:rPr>
        <w:footnoteReference w:id="2"/>
      </w:r>
      <w:r w:rsidR="001202B7" w:rsidRPr="001202B7">
        <w:rPr>
          <w:rFonts w:eastAsia="Times New Roman" w:cs="Arial"/>
          <w:i/>
          <w:lang w:eastAsia="en-AU"/>
        </w:rPr>
        <w:t>)</w:t>
      </w:r>
      <w:r w:rsidR="001202B7">
        <w:rPr>
          <w:rFonts w:eastAsia="Times New Roman" w:cs="Arial"/>
          <w:i/>
          <w:lang w:eastAsia="en-AU"/>
        </w:rPr>
        <w:t xml:space="preserve">, </w:t>
      </w:r>
      <w:r w:rsidR="001202B7" w:rsidRPr="001202B7">
        <w:rPr>
          <w:rFonts w:eastAsia="Times New Roman" w:cs="Arial"/>
          <w:lang w:eastAsia="en-AU"/>
        </w:rPr>
        <w:t>that being</w:t>
      </w:r>
      <w:r w:rsidR="001202B7">
        <w:rPr>
          <w:rFonts w:eastAsia="Times New Roman" w:cs="Arial"/>
          <w:i/>
          <w:lang w:eastAsia="en-AU"/>
        </w:rPr>
        <w:t xml:space="preserve"> </w:t>
      </w:r>
      <w:r w:rsidR="00CF3875" w:rsidRPr="004C4CD9">
        <w:rPr>
          <w:rFonts w:eastAsia="Times New Roman" w:cs="Arial"/>
          <w:lang w:eastAsia="en-AU"/>
        </w:rPr>
        <w:t>those in gov</w:t>
      </w:r>
      <w:r w:rsidR="001202B7">
        <w:rPr>
          <w:rFonts w:eastAsia="Times New Roman" w:cs="Arial"/>
          <w:lang w:eastAsia="en-AU"/>
        </w:rPr>
        <w:t>ernment or inherently political.</w:t>
      </w:r>
    </w:p>
    <w:p w:rsidR="001704DA" w:rsidRDefault="001704DA" w:rsidP="00893CC9">
      <w:pPr>
        <w:rPr>
          <w:rFonts w:eastAsia="Times New Roman" w:cs="Arial"/>
          <w:lang w:eastAsia="en-AU"/>
        </w:rPr>
      </w:pPr>
    </w:p>
    <w:p w:rsidR="001704DA" w:rsidRDefault="001704DA" w:rsidP="00893CC9">
      <w:pPr>
        <w:rPr>
          <w:rFonts w:eastAsia="Times New Roman" w:cs="Arial"/>
          <w:lang w:eastAsia="en-AU"/>
        </w:rPr>
      </w:pPr>
      <w:r>
        <w:rPr>
          <w:rFonts w:eastAsia="Times New Roman" w:cs="Arial"/>
          <w:lang w:eastAsia="en-AU"/>
        </w:rPr>
        <w:t>In Orders</w:t>
      </w:r>
      <w:r w:rsidR="00342B77">
        <w:rPr>
          <w:rFonts w:eastAsia="Times New Roman" w:cs="Arial"/>
          <w:lang w:eastAsia="en-AU"/>
        </w:rPr>
        <w:t xml:space="preserve"> in the Lange case</w:t>
      </w:r>
      <w:r>
        <w:rPr>
          <w:rFonts w:eastAsia="Times New Roman" w:cs="Arial"/>
          <w:lang w:eastAsia="en-AU"/>
        </w:rPr>
        <w:t>, McHugh J stated:</w:t>
      </w:r>
    </w:p>
    <w:p w:rsidR="00BD59F4" w:rsidRDefault="00BD59F4" w:rsidP="00893CC9">
      <w:pPr>
        <w:rPr>
          <w:rFonts w:eastAsia="Times New Roman" w:cs="Arial"/>
          <w:lang w:eastAsia="en-AU"/>
        </w:rPr>
      </w:pPr>
    </w:p>
    <w:p w:rsidR="00BD59F4" w:rsidRPr="00BD59F4" w:rsidRDefault="00BD59F4" w:rsidP="001704DA">
      <w:pPr>
        <w:ind w:left="426"/>
        <w:rPr>
          <w:rFonts w:asciiTheme="minorHAnsi" w:eastAsia="Times New Roman" w:hAnsiTheme="minorHAnsi" w:cs="Arial"/>
          <w:i/>
          <w:iCs/>
          <w:lang w:eastAsia="en-AU"/>
        </w:rPr>
      </w:pPr>
      <w:r w:rsidRPr="00BD59F4">
        <w:rPr>
          <w:rFonts w:asciiTheme="minorHAnsi" w:hAnsiTheme="minorHAnsi"/>
          <w:i/>
          <w:color w:val="000000"/>
          <w:shd w:val="clear" w:color="auto" w:fill="FFFFFF"/>
        </w:rPr>
        <w:t xml:space="preserve">In </w:t>
      </w:r>
      <w:r w:rsidRPr="001704DA">
        <w:rPr>
          <w:rFonts w:asciiTheme="minorHAnsi" w:hAnsiTheme="minorHAnsi"/>
          <w:i/>
          <w:color w:val="000000"/>
          <w:shd w:val="clear" w:color="auto" w:fill="FFFFFF"/>
        </w:rPr>
        <w:t>the</w:t>
      </w:r>
      <w:r w:rsidR="001704DA">
        <w:rPr>
          <w:rStyle w:val="apple-converted-space"/>
          <w:rFonts w:asciiTheme="minorHAnsi" w:hAnsiTheme="minorHAnsi"/>
          <w:i/>
          <w:color w:val="000000"/>
          <w:shd w:val="clear" w:color="auto" w:fill="FFFFFF"/>
        </w:rPr>
        <w:t xml:space="preserve"> last decade </w:t>
      </w:r>
      <w:r w:rsidR="001704DA">
        <w:rPr>
          <w:rFonts w:asciiTheme="minorHAnsi" w:hAnsiTheme="minorHAnsi"/>
          <w:i/>
          <w:color w:val="000000"/>
          <w:shd w:val="clear" w:color="auto" w:fill="FFFFFF"/>
        </w:rPr>
        <w:t>o</w:t>
      </w:r>
      <w:r w:rsidRPr="001704DA">
        <w:rPr>
          <w:rFonts w:asciiTheme="minorHAnsi" w:hAnsiTheme="minorHAnsi"/>
          <w:i/>
          <w:color w:val="000000"/>
          <w:shd w:val="clear" w:color="auto" w:fill="FFFFFF"/>
        </w:rPr>
        <w:t>f</w:t>
      </w:r>
      <w:r w:rsidRPr="00BD59F4">
        <w:rPr>
          <w:rFonts w:asciiTheme="minorHAnsi" w:hAnsiTheme="minorHAnsi"/>
          <w:i/>
          <w:color w:val="000000"/>
          <w:shd w:val="clear" w:color="auto" w:fill="FFFFFF"/>
        </w:rPr>
        <w:t xml:space="preserve"> the 20th century, the quality of life and the freedom of the ordinary individual in Australia are highly dependent on the exercise of functions and powers vested in public representatives and officials by a vast legal and bureaucratic apparatus funded by public moneys. How, when, why and where those functions and powers are or are not exercised are matters that are of real and legitimate interest to every member of the community. </w:t>
      </w:r>
      <w:r w:rsidR="001704DA">
        <w:rPr>
          <w:rFonts w:asciiTheme="minorHAnsi" w:hAnsiTheme="minorHAnsi"/>
          <w:i/>
          <w:color w:val="000000"/>
          <w:shd w:val="clear" w:color="auto" w:fill="FFFFFF"/>
        </w:rPr>
        <w:t xml:space="preserve"> </w:t>
      </w:r>
      <w:r w:rsidRPr="00BD59F4">
        <w:rPr>
          <w:rFonts w:asciiTheme="minorHAnsi" w:hAnsiTheme="minorHAnsi"/>
          <w:i/>
          <w:color w:val="000000"/>
          <w:shd w:val="clear" w:color="auto" w:fill="FFFFFF"/>
        </w:rPr>
        <w:t xml:space="preserve">Information concerning the exercise of those functions and powers is of vital concern to the community. </w:t>
      </w:r>
      <w:r w:rsidR="001704DA">
        <w:rPr>
          <w:rFonts w:asciiTheme="minorHAnsi" w:hAnsiTheme="minorHAnsi"/>
          <w:i/>
          <w:color w:val="000000"/>
          <w:shd w:val="clear" w:color="auto" w:fill="FFFFFF"/>
        </w:rPr>
        <w:t xml:space="preserve"> </w:t>
      </w:r>
      <w:r w:rsidRPr="00BD59F4">
        <w:rPr>
          <w:rFonts w:asciiTheme="minorHAnsi" w:hAnsiTheme="minorHAnsi"/>
          <w:i/>
          <w:color w:val="000000"/>
          <w:shd w:val="clear" w:color="auto" w:fill="FFFFFF"/>
        </w:rPr>
        <w:t xml:space="preserve">So is the performance of the public representatives and officials who are invested with them. </w:t>
      </w:r>
      <w:r w:rsidR="001704DA">
        <w:rPr>
          <w:rFonts w:asciiTheme="minorHAnsi" w:hAnsiTheme="minorHAnsi"/>
          <w:i/>
          <w:color w:val="000000"/>
          <w:shd w:val="clear" w:color="auto" w:fill="FFFFFF"/>
        </w:rPr>
        <w:t xml:space="preserve"> </w:t>
      </w:r>
      <w:r w:rsidRPr="00BD59F4">
        <w:rPr>
          <w:rFonts w:asciiTheme="minorHAnsi" w:hAnsiTheme="minorHAnsi"/>
          <w:i/>
          <w:color w:val="000000"/>
          <w:shd w:val="clear" w:color="auto" w:fill="FFFFFF"/>
        </w:rPr>
        <w:t xml:space="preserve">It follows in my opinion that the general public has a legitimate </w:t>
      </w:r>
      <w:r w:rsidRPr="00BD59F4">
        <w:rPr>
          <w:rFonts w:asciiTheme="minorHAnsi" w:hAnsiTheme="minorHAnsi"/>
          <w:i/>
          <w:color w:val="000000"/>
          <w:shd w:val="clear" w:color="auto" w:fill="FFFFFF"/>
        </w:rPr>
        <w:lastRenderedPageBreak/>
        <w:t xml:space="preserve">interest in receiving information concerning matters relevant to the exercise of public functions and powers vested in public representatives and officials. </w:t>
      </w:r>
      <w:r w:rsidR="001704DA">
        <w:rPr>
          <w:rFonts w:asciiTheme="minorHAnsi" w:hAnsiTheme="minorHAnsi"/>
          <w:i/>
          <w:color w:val="000000"/>
          <w:shd w:val="clear" w:color="auto" w:fill="FFFFFF"/>
        </w:rPr>
        <w:t xml:space="preserve"> </w:t>
      </w:r>
      <w:r w:rsidRPr="00BD59F4">
        <w:rPr>
          <w:rFonts w:asciiTheme="minorHAnsi" w:hAnsiTheme="minorHAnsi"/>
          <w:i/>
          <w:color w:val="000000"/>
          <w:shd w:val="clear" w:color="auto" w:fill="FFFFFF"/>
        </w:rPr>
        <w:t xml:space="preserve">Moreover, a narrow view should not be taken of the matters about which the general public has an interest in receiving information. With the increasing integration of the social, economic and political life of Australia, it is difficult to contend that the exercise or failure to exercise public functions or powers at any particular level of government or administration, or in any part of the country, is not of relevant interest to the public of Australia generally. </w:t>
      </w:r>
      <w:r w:rsidR="001704DA">
        <w:rPr>
          <w:rFonts w:asciiTheme="minorHAnsi" w:hAnsiTheme="minorHAnsi"/>
          <w:i/>
          <w:color w:val="000000"/>
          <w:shd w:val="clear" w:color="auto" w:fill="FFFFFF"/>
        </w:rPr>
        <w:t xml:space="preserve"> </w:t>
      </w:r>
      <w:r w:rsidRPr="00BD59F4">
        <w:rPr>
          <w:rFonts w:asciiTheme="minorHAnsi" w:hAnsiTheme="minorHAnsi"/>
          <w:i/>
          <w:color w:val="000000"/>
          <w:shd w:val="clear" w:color="auto" w:fill="FFFFFF"/>
        </w:rPr>
        <w:t>If this legitimate interest of the public is to be properly served, it must also follow that on occasions persons with special knowledge concerning the exercise of public functions or powers or the performance by public representatives or officials of their duties will have a corresponding duty or interest to communicate information concerning such functions, powers and performances to members of the general public</w:t>
      </w:r>
      <w:r w:rsidR="00B3005F">
        <w:rPr>
          <w:rFonts w:asciiTheme="minorHAnsi" w:hAnsiTheme="minorHAnsi"/>
          <w:i/>
          <w:color w:val="000000"/>
          <w:shd w:val="clear" w:color="auto" w:fill="FFFFFF"/>
        </w:rPr>
        <w:t>’</w:t>
      </w:r>
      <w:r w:rsidRPr="00BD59F4">
        <w:rPr>
          <w:rFonts w:asciiTheme="minorHAnsi" w:hAnsiTheme="minorHAnsi"/>
          <w:i/>
          <w:color w:val="000000"/>
          <w:shd w:val="clear" w:color="auto" w:fill="FFFFFF"/>
        </w:rPr>
        <w:t>.</w:t>
      </w:r>
      <w:r w:rsidR="001704DA">
        <w:rPr>
          <w:rStyle w:val="FootnoteReference"/>
          <w:rFonts w:asciiTheme="minorHAnsi" w:hAnsiTheme="minorHAnsi"/>
          <w:i/>
          <w:color w:val="000000"/>
          <w:shd w:val="clear" w:color="auto" w:fill="FFFFFF"/>
        </w:rPr>
        <w:footnoteReference w:id="3"/>
      </w:r>
    </w:p>
    <w:p w:rsidR="008374BD" w:rsidRDefault="008374BD" w:rsidP="001F6EF0">
      <w:pPr>
        <w:pStyle w:val="Default"/>
        <w:rPr>
          <w:rFonts w:eastAsia="Cambria" w:cs="Times New Roman"/>
          <w:color w:val="auto"/>
          <w:sz w:val="22"/>
          <w:szCs w:val="22"/>
          <w:lang w:eastAsia="en-US"/>
        </w:rPr>
      </w:pPr>
    </w:p>
    <w:p w:rsidR="008374BD" w:rsidRPr="008374BD" w:rsidRDefault="008374BD" w:rsidP="008374BD">
      <w:pPr>
        <w:rPr>
          <w:u w:val="single"/>
        </w:rPr>
      </w:pPr>
      <w:r w:rsidRPr="008374BD">
        <w:rPr>
          <w:u w:val="single"/>
        </w:rPr>
        <w:t>Non-disclosure laws undermine key elements of free speech</w:t>
      </w:r>
    </w:p>
    <w:p w:rsidR="008374BD" w:rsidRDefault="008374BD" w:rsidP="008374BD"/>
    <w:p w:rsidR="008374BD" w:rsidRDefault="008374BD" w:rsidP="008374BD">
      <w:pPr>
        <w:pStyle w:val="Default"/>
        <w:rPr>
          <w:rFonts w:eastAsia="Cambria" w:cs="Times New Roman"/>
          <w:color w:val="auto"/>
          <w:sz w:val="22"/>
          <w:szCs w:val="22"/>
          <w:lang w:eastAsia="en-US"/>
        </w:rPr>
      </w:pPr>
      <w:r>
        <w:rPr>
          <w:rFonts w:eastAsia="Cambria" w:cs="Times New Roman"/>
          <w:color w:val="auto"/>
          <w:sz w:val="22"/>
          <w:szCs w:val="22"/>
          <w:lang w:eastAsia="en-US"/>
        </w:rPr>
        <w:t>We draw to the attention of the CCC submissions made by the Joint Media Organisat</w:t>
      </w:r>
      <w:r w:rsidR="00A85181">
        <w:rPr>
          <w:rFonts w:eastAsia="Cambria" w:cs="Times New Roman"/>
          <w:color w:val="auto"/>
          <w:sz w:val="22"/>
          <w:szCs w:val="22"/>
          <w:lang w:eastAsia="en-US"/>
        </w:rPr>
        <w:t>ions to non-disclosure provisions and associated penalties in recent amendments to Commonwealth legislation, particularly national security amendments.</w:t>
      </w:r>
    </w:p>
    <w:p w:rsidR="008374BD" w:rsidRDefault="008374BD" w:rsidP="008374BD"/>
    <w:p w:rsidR="008374BD" w:rsidRDefault="008374BD" w:rsidP="008374BD">
      <w:r>
        <w:t>Issues with non-disclosure provisions include:</w:t>
      </w:r>
    </w:p>
    <w:p w:rsidR="00E1594B" w:rsidRDefault="00E1594B" w:rsidP="008374BD"/>
    <w:p w:rsidR="008374BD" w:rsidRPr="002665F9" w:rsidRDefault="008374BD" w:rsidP="008374BD">
      <w:pPr>
        <w:numPr>
          <w:ilvl w:val="0"/>
          <w:numId w:val="19"/>
        </w:numPr>
        <w:contextualSpacing/>
        <w:rPr>
          <w:rFonts w:eastAsia="Cambria"/>
        </w:rPr>
      </w:pPr>
      <w:r>
        <w:rPr>
          <w:rFonts w:eastAsia="Cambria"/>
          <w:i/>
        </w:rPr>
        <w:t>Penalising, including criminalising,</w:t>
      </w:r>
      <w:r w:rsidRPr="00001F76">
        <w:rPr>
          <w:rFonts w:eastAsia="Cambria"/>
          <w:i/>
        </w:rPr>
        <w:t xml:space="preserve"> journalists for undertaking and discharging their role in a modern democratic society</w:t>
      </w:r>
      <w:r>
        <w:rPr>
          <w:rFonts w:eastAsia="Cambria"/>
        </w:rPr>
        <w:t xml:space="preserve"> – particularly where non-disclosure provisions </w:t>
      </w:r>
      <w:r>
        <w:rPr>
          <w:rFonts w:eastAsia="MS Mincho"/>
          <w:iCs/>
          <w:u w:val="single"/>
          <w:lang w:val="en-US"/>
        </w:rPr>
        <w:t>do</w:t>
      </w:r>
      <w:r w:rsidRPr="002665F9">
        <w:rPr>
          <w:rFonts w:eastAsia="MS Mincho"/>
          <w:iCs/>
          <w:u w:val="single"/>
          <w:lang w:val="en-US"/>
        </w:rPr>
        <w:t xml:space="preserve"> not</w:t>
      </w:r>
      <w:r w:rsidRPr="002665F9">
        <w:rPr>
          <w:rFonts w:eastAsia="MS Mincho"/>
          <w:iCs/>
          <w:lang w:val="en-US"/>
        </w:rPr>
        <w:t xml:space="preserve"> include an exception for journalists and the media for public interest reporting</w:t>
      </w:r>
      <w:r>
        <w:rPr>
          <w:rFonts w:eastAsia="MS Mincho"/>
          <w:iCs/>
          <w:lang w:val="en-US"/>
        </w:rPr>
        <w:t>; and</w:t>
      </w:r>
    </w:p>
    <w:p w:rsidR="008374BD" w:rsidRDefault="00970474" w:rsidP="008374BD">
      <w:pPr>
        <w:numPr>
          <w:ilvl w:val="0"/>
          <w:numId w:val="19"/>
        </w:numPr>
        <w:contextualSpacing/>
        <w:rPr>
          <w:rFonts w:eastAsia="Cambria" w:cs="Calibri"/>
          <w:color w:val="000000"/>
        </w:rPr>
      </w:pPr>
      <w:r>
        <w:rPr>
          <w:rFonts w:eastAsia="Cambria"/>
          <w:i/>
        </w:rPr>
        <w:t>Further eroding</w:t>
      </w:r>
      <w:r w:rsidR="008374BD" w:rsidRPr="00001F76">
        <w:rPr>
          <w:rFonts w:eastAsia="Cambria"/>
          <w:i/>
        </w:rPr>
        <w:t xml:space="preserve"> the already inadequate protections for whistle-blowers and </w:t>
      </w:r>
      <w:r w:rsidR="008374BD">
        <w:rPr>
          <w:rFonts w:eastAsia="Cambria"/>
          <w:i/>
        </w:rPr>
        <w:t>ha</w:t>
      </w:r>
      <w:r>
        <w:rPr>
          <w:rFonts w:eastAsia="Cambria"/>
          <w:i/>
        </w:rPr>
        <w:t>ving</w:t>
      </w:r>
      <w:r w:rsidR="008374BD">
        <w:rPr>
          <w:rFonts w:eastAsia="Cambria"/>
          <w:i/>
        </w:rPr>
        <w:t xml:space="preserve"> a chilling effect on sources</w:t>
      </w:r>
      <w:r w:rsidR="008374BD">
        <w:rPr>
          <w:rFonts w:eastAsia="Cambria"/>
        </w:rPr>
        <w:t xml:space="preserve"> – particularly as penalties, including criminalisation, apply to anyone</w:t>
      </w:r>
      <w:r w:rsidR="008374BD">
        <w:rPr>
          <w:rFonts w:eastAsia="Cambria" w:cs="Calibri"/>
          <w:color w:val="000000"/>
        </w:rPr>
        <w:t xml:space="preserve"> disclosing information (including public sector employees</w:t>
      </w:r>
      <w:r w:rsidR="000419F0">
        <w:rPr>
          <w:rFonts w:eastAsia="Cambria" w:cs="Calibri"/>
          <w:color w:val="000000"/>
        </w:rPr>
        <w:t xml:space="preserve"> and external persons</w:t>
      </w:r>
      <w:r w:rsidR="008374BD">
        <w:rPr>
          <w:rFonts w:eastAsia="Cambria" w:cs="Calibri"/>
          <w:color w:val="000000"/>
        </w:rPr>
        <w:t>) which further discourages</w:t>
      </w:r>
      <w:r w:rsidR="008374BD" w:rsidRPr="00001F76">
        <w:rPr>
          <w:rFonts w:eastAsia="Cambria" w:cs="Calibri"/>
          <w:color w:val="000000"/>
        </w:rPr>
        <w:t xml:space="preserve"> whistle-blowing and </w:t>
      </w:r>
      <w:r w:rsidR="000419F0">
        <w:rPr>
          <w:rFonts w:eastAsia="Cambria" w:cs="Calibri"/>
          <w:color w:val="000000"/>
        </w:rPr>
        <w:t xml:space="preserve">journalists’ </w:t>
      </w:r>
      <w:r w:rsidR="008374BD" w:rsidRPr="00001F76">
        <w:rPr>
          <w:rFonts w:eastAsia="Cambria" w:cs="Calibri"/>
          <w:color w:val="000000"/>
        </w:rPr>
        <w:t>sources.</w:t>
      </w:r>
    </w:p>
    <w:p w:rsidR="008374BD" w:rsidRDefault="008374BD" w:rsidP="008374BD">
      <w:pPr>
        <w:contextualSpacing/>
        <w:rPr>
          <w:rFonts w:eastAsia="Cambria" w:cs="Calibri"/>
          <w:color w:val="000000"/>
        </w:rPr>
      </w:pPr>
    </w:p>
    <w:p w:rsidR="008374BD" w:rsidRDefault="008374BD" w:rsidP="008374BD">
      <w:pPr>
        <w:contextualSpacing/>
        <w:rPr>
          <w:rFonts w:eastAsia="Cambria" w:cs="Calibri"/>
          <w:color w:val="000000"/>
        </w:rPr>
      </w:pPr>
      <w:r w:rsidRPr="0037140B">
        <w:rPr>
          <w:rFonts w:eastAsia="Cambria" w:cs="Calibri"/>
          <w:color w:val="000000"/>
        </w:rPr>
        <w:t>Such an approach does not serve a free and open</w:t>
      </w:r>
      <w:r>
        <w:rPr>
          <w:rFonts w:eastAsia="Cambria" w:cs="Calibri"/>
          <w:color w:val="000000"/>
        </w:rPr>
        <w:t xml:space="preserve"> society and a modern democracy, and one that is attempting to deal with transparency and corruption issues as a societal issue.</w:t>
      </w:r>
    </w:p>
    <w:p w:rsidR="00A85181" w:rsidRDefault="00A85181" w:rsidP="008374BD">
      <w:pPr>
        <w:contextualSpacing/>
        <w:rPr>
          <w:rFonts w:eastAsia="Cambria" w:cs="Calibri"/>
          <w:color w:val="000000"/>
        </w:rPr>
      </w:pPr>
    </w:p>
    <w:p w:rsidR="008374BD" w:rsidRPr="0037140B" w:rsidRDefault="008374BD" w:rsidP="008374BD">
      <w:pPr>
        <w:contextualSpacing/>
        <w:rPr>
          <w:rFonts w:eastAsia="Cambria" w:cs="Calibri"/>
          <w:color w:val="000000"/>
        </w:rPr>
      </w:pPr>
      <w:r>
        <w:rPr>
          <w:rFonts w:eastAsia="Cambria" w:cs="Calibri"/>
          <w:color w:val="000000"/>
        </w:rPr>
        <w:t xml:space="preserve">It should be stated here that our view is regardless of </w:t>
      </w:r>
      <w:r w:rsidR="00A85181">
        <w:rPr>
          <w:rFonts w:eastAsia="Cambria" w:cs="Calibri"/>
          <w:color w:val="000000"/>
        </w:rPr>
        <w:t xml:space="preserve">the penalties applied to the non-disclosure offence, including </w:t>
      </w:r>
      <w:r>
        <w:rPr>
          <w:rFonts w:eastAsia="Cambria" w:cs="Calibri"/>
          <w:color w:val="000000"/>
        </w:rPr>
        <w:t>whether or not journalists are criminalised.  This issue remains that freedom of speech would unjustifiably be eroded under the Queensland CCC plans.</w:t>
      </w:r>
    </w:p>
    <w:p w:rsidR="008374BD" w:rsidRDefault="008374BD" w:rsidP="001F6EF0">
      <w:pPr>
        <w:pStyle w:val="Default"/>
        <w:rPr>
          <w:b/>
          <w:color w:val="auto"/>
          <w:sz w:val="22"/>
        </w:rPr>
      </w:pPr>
    </w:p>
    <w:p w:rsidR="008374BD" w:rsidRPr="008C41E0" w:rsidRDefault="007107A6" w:rsidP="0078206F">
      <w:pPr>
        <w:pStyle w:val="Default"/>
        <w:rPr>
          <w:color w:val="auto"/>
          <w:sz w:val="22"/>
          <w:u w:val="single"/>
        </w:rPr>
      </w:pPr>
      <w:r>
        <w:rPr>
          <w:color w:val="auto"/>
          <w:sz w:val="22"/>
          <w:u w:val="single"/>
        </w:rPr>
        <w:t xml:space="preserve">Independent reports show non-disclosure laws </w:t>
      </w:r>
      <w:r w:rsidR="00370AD3">
        <w:rPr>
          <w:color w:val="auto"/>
          <w:sz w:val="22"/>
          <w:u w:val="single"/>
        </w:rPr>
        <w:t>are arguably invalid</w:t>
      </w:r>
    </w:p>
    <w:p w:rsidR="008C41E0" w:rsidRDefault="008C41E0" w:rsidP="0078206F">
      <w:pPr>
        <w:pStyle w:val="Default"/>
        <w:rPr>
          <w:color w:val="auto"/>
          <w:sz w:val="22"/>
        </w:rPr>
      </w:pPr>
    </w:p>
    <w:p w:rsidR="008C41E0" w:rsidRDefault="008C41E0" w:rsidP="0078206F">
      <w:pPr>
        <w:pStyle w:val="Default"/>
        <w:rPr>
          <w:color w:val="auto"/>
          <w:sz w:val="22"/>
        </w:rPr>
      </w:pPr>
      <w:r>
        <w:rPr>
          <w:color w:val="auto"/>
          <w:sz w:val="22"/>
        </w:rPr>
        <w:t>With regard to non-disclosure laws, we reference two important sources of independent review.</w:t>
      </w:r>
    </w:p>
    <w:p w:rsidR="008C41E0" w:rsidRDefault="008C41E0" w:rsidP="0078206F">
      <w:pPr>
        <w:pStyle w:val="Default"/>
        <w:rPr>
          <w:color w:val="auto"/>
          <w:sz w:val="22"/>
        </w:rPr>
      </w:pPr>
    </w:p>
    <w:p w:rsidR="0078206F" w:rsidRDefault="008C41E0" w:rsidP="0078206F">
      <w:pPr>
        <w:pStyle w:val="Default"/>
        <w:numPr>
          <w:ilvl w:val="0"/>
          <w:numId w:val="20"/>
        </w:numPr>
        <w:rPr>
          <w:i/>
          <w:color w:val="auto"/>
          <w:sz w:val="22"/>
        </w:rPr>
      </w:pPr>
      <w:r w:rsidRPr="007107A6">
        <w:rPr>
          <w:i/>
          <w:color w:val="auto"/>
          <w:sz w:val="22"/>
        </w:rPr>
        <w:t>Independent National Security legislation Monitor Review of section 35P of the ASIO Act</w:t>
      </w:r>
    </w:p>
    <w:p w:rsidR="0078206F" w:rsidRDefault="0078206F" w:rsidP="0078206F">
      <w:pPr>
        <w:pStyle w:val="Default"/>
        <w:ind w:left="720"/>
        <w:rPr>
          <w:i/>
          <w:color w:val="auto"/>
          <w:sz w:val="22"/>
        </w:rPr>
      </w:pPr>
    </w:p>
    <w:p w:rsidR="0078206F" w:rsidRDefault="008C41E0" w:rsidP="0078206F">
      <w:pPr>
        <w:pStyle w:val="Default"/>
        <w:ind w:left="720"/>
        <w:rPr>
          <w:i/>
          <w:color w:val="auto"/>
          <w:sz w:val="22"/>
        </w:rPr>
      </w:pPr>
      <w:r w:rsidRPr="0078206F">
        <w:rPr>
          <w:color w:val="auto"/>
          <w:sz w:val="22"/>
        </w:rPr>
        <w:t xml:space="preserve">The Independent National Security Legislation monitor, the Hon Roger Giles AO QC, issued </w:t>
      </w:r>
      <w:r w:rsidRPr="0078206F">
        <w:rPr>
          <w:i/>
          <w:color w:val="auto"/>
          <w:sz w:val="22"/>
        </w:rPr>
        <w:t xml:space="preserve">Report ion the impact on journalists of section 35P of the ASIO Act, </w:t>
      </w:r>
      <w:r w:rsidRPr="0078206F">
        <w:rPr>
          <w:color w:val="auto"/>
          <w:sz w:val="22"/>
        </w:rPr>
        <w:t>in October 2015</w:t>
      </w:r>
      <w:r w:rsidR="007107A6">
        <w:rPr>
          <w:rStyle w:val="FootnoteReference"/>
          <w:color w:val="auto"/>
          <w:sz w:val="22"/>
        </w:rPr>
        <w:footnoteReference w:id="4"/>
      </w:r>
      <w:r w:rsidRPr="0078206F">
        <w:rPr>
          <w:color w:val="auto"/>
          <w:sz w:val="22"/>
        </w:rPr>
        <w:t>.</w:t>
      </w:r>
    </w:p>
    <w:p w:rsidR="0078206F" w:rsidRDefault="0078206F" w:rsidP="0078206F">
      <w:pPr>
        <w:pStyle w:val="Default"/>
        <w:ind w:left="720"/>
        <w:rPr>
          <w:i/>
          <w:color w:val="auto"/>
          <w:sz w:val="22"/>
        </w:rPr>
      </w:pPr>
    </w:p>
    <w:p w:rsidR="0078206F" w:rsidRDefault="008C41E0" w:rsidP="0078206F">
      <w:pPr>
        <w:pStyle w:val="Default"/>
        <w:ind w:left="720"/>
        <w:rPr>
          <w:i/>
          <w:color w:val="auto"/>
          <w:sz w:val="22"/>
        </w:rPr>
      </w:pPr>
      <w:r>
        <w:rPr>
          <w:color w:val="auto"/>
          <w:sz w:val="22"/>
        </w:rPr>
        <w:t>T</w:t>
      </w:r>
      <w:r w:rsidR="007107A6">
        <w:rPr>
          <w:color w:val="auto"/>
          <w:sz w:val="22"/>
        </w:rPr>
        <w:t>hat report states:</w:t>
      </w:r>
    </w:p>
    <w:p w:rsidR="0078206F" w:rsidRDefault="0078206F" w:rsidP="0078206F">
      <w:pPr>
        <w:pStyle w:val="Default"/>
        <w:ind w:left="720"/>
        <w:rPr>
          <w:i/>
          <w:color w:val="auto"/>
          <w:sz w:val="22"/>
        </w:rPr>
      </w:pPr>
    </w:p>
    <w:p w:rsidR="007107A6" w:rsidRDefault="002E5C32" w:rsidP="0078206F">
      <w:pPr>
        <w:pStyle w:val="Default"/>
        <w:ind w:left="1440"/>
        <w:rPr>
          <w:i/>
          <w:color w:val="auto"/>
          <w:sz w:val="22"/>
        </w:rPr>
      </w:pPr>
      <w:r>
        <w:rPr>
          <w:i/>
          <w:color w:val="auto"/>
          <w:sz w:val="22"/>
        </w:rPr>
        <w:t>Section 35P is arguably</w:t>
      </w:r>
      <w:r w:rsidR="007107A6" w:rsidRPr="007107A6">
        <w:rPr>
          <w:i/>
          <w:color w:val="auto"/>
          <w:sz w:val="22"/>
        </w:rPr>
        <w:t xml:space="preserve"> invalid on the basis that it infringes the constitutional protection of freedom of political communication.  Section 35P is also arguably inconsistent with Article 19 of the International Covenant on Civil and Political</w:t>
      </w:r>
      <w:r w:rsidR="00370AD3">
        <w:rPr>
          <w:i/>
          <w:color w:val="auto"/>
          <w:sz w:val="22"/>
        </w:rPr>
        <w:t xml:space="preserve"> </w:t>
      </w:r>
      <w:r w:rsidR="007107A6" w:rsidRPr="007107A6">
        <w:rPr>
          <w:i/>
          <w:color w:val="auto"/>
          <w:sz w:val="22"/>
        </w:rPr>
        <w:t>Rights and so not in accordance with Australia’s international obligations.</w:t>
      </w:r>
    </w:p>
    <w:p w:rsidR="007107A6" w:rsidRDefault="007107A6" w:rsidP="0078206F">
      <w:pPr>
        <w:pStyle w:val="Default"/>
        <w:rPr>
          <w:color w:val="auto"/>
          <w:sz w:val="22"/>
        </w:rPr>
      </w:pPr>
    </w:p>
    <w:p w:rsidR="0078206F" w:rsidRDefault="007107A6" w:rsidP="0078206F">
      <w:pPr>
        <w:pStyle w:val="Default"/>
        <w:numPr>
          <w:ilvl w:val="0"/>
          <w:numId w:val="20"/>
        </w:numPr>
        <w:rPr>
          <w:i/>
          <w:color w:val="auto"/>
          <w:sz w:val="22"/>
        </w:rPr>
      </w:pPr>
      <w:r w:rsidRPr="007107A6">
        <w:rPr>
          <w:i/>
          <w:color w:val="auto"/>
          <w:sz w:val="22"/>
        </w:rPr>
        <w:t>Austral</w:t>
      </w:r>
      <w:r>
        <w:rPr>
          <w:i/>
          <w:color w:val="auto"/>
          <w:sz w:val="22"/>
        </w:rPr>
        <w:t>ian Law Review Commission inquiry</w:t>
      </w:r>
      <w:r w:rsidRPr="007107A6">
        <w:rPr>
          <w:i/>
          <w:color w:val="auto"/>
          <w:sz w:val="22"/>
        </w:rPr>
        <w:t xml:space="preserve"> into Traditional Rights and Freedoms – Encroachments by Commonwealth Laws</w:t>
      </w:r>
    </w:p>
    <w:p w:rsidR="0078206F" w:rsidRDefault="0078206F" w:rsidP="0078206F">
      <w:pPr>
        <w:pStyle w:val="Default"/>
        <w:ind w:left="720"/>
        <w:rPr>
          <w:i/>
          <w:color w:val="auto"/>
          <w:sz w:val="22"/>
        </w:rPr>
      </w:pPr>
    </w:p>
    <w:p w:rsidR="0078206F" w:rsidRDefault="007107A6" w:rsidP="0078206F">
      <w:pPr>
        <w:pStyle w:val="Default"/>
        <w:ind w:left="720"/>
        <w:rPr>
          <w:i/>
          <w:color w:val="auto"/>
          <w:sz w:val="22"/>
        </w:rPr>
      </w:pPr>
      <w:r w:rsidRPr="0078206F">
        <w:rPr>
          <w:color w:val="auto"/>
          <w:sz w:val="22"/>
        </w:rPr>
        <w:t>In March 2016 the ALRC tabled the final report of the inquiry into</w:t>
      </w:r>
      <w:r w:rsidRPr="0078206F">
        <w:rPr>
          <w:i/>
          <w:color w:val="auto"/>
          <w:sz w:val="22"/>
        </w:rPr>
        <w:t xml:space="preserve"> Traditional Rights and Freedoms – Encroachments by Commonwealth Laws</w:t>
      </w:r>
      <w:r>
        <w:rPr>
          <w:rStyle w:val="FootnoteReference"/>
          <w:i/>
          <w:color w:val="auto"/>
          <w:sz w:val="22"/>
        </w:rPr>
        <w:footnoteReference w:id="5"/>
      </w:r>
      <w:r w:rsidRPr="0078206F">
        <w:rPr>
          <w:i/>
          <w:color w:val="auto"/>
          <w:sz w:val="22"/>
        </w:rPr>
        <w:t>.</w:t>
      </w:r>
    </w:p>
    <w:p w:rsidR="0078206F" w:rsidRDefault="0078206F" w:rsidP="0078206F">
      <w:pPr>
        <w:pStyle w:val="Default"/>
        <w:ind w:left="720"/>
        <w:rPr>
          <w:i/>
          <w:color w:val="auto"/>
          <w:sz w:val="22"/>
        </w:rPr>
      </w:pPr>
    </w:p>
    <w:p w:rsidR="0078206F" w:rsidRDefault="007107A6" w:rsidP="0078206F">
      <w:pPr>
        <w:pStyle w:val="Default"/>
        <w:ind w:left="720"/>
        <w:rPr>
          <w:color w:val="auto"/>
          <w:sz w:val="22"/>
        </w:rPr>
      </w:pPr>
      <w:r>
        <w:rPr>
          <w:color w:val="auto"/>
          <w:sz w:val="22"/>
        </w:rPr>
        <w:t xml:space="preserve">Regarding </w:t>
      </w:r>
      <w:r w:rsidR="0078206F">
        <w:rPr>
          <w:color w:val="auto"/>
          <w:sz w:val="22"/>
        </w:rPr>
        <w:t>the issues raised by the Joint Media Organisations in our submission</w:t>
      </w:r>
      <w:r w:rsidR="0078206F">
        <w:rPr>
          <w:rStyle w:val="FootnoteReference"/>
          <w:color w:val="auto"/>
          <w:sz w:val="22"/>
        </w:rPr>
        <w:footnoteReference w:id="6"/>
      </w:r>
      <w:r w:rsidR="0078206F">
        <w:rPr>
          <w:color w:val="auto"/>
          <w:sz w:val="22"/>
        </w:rPr>
        <w:t>, the ALRC recommended:</w:t>
      </w:r>
    </w:p>
    <w:p w:rsidR="0078206F" w:rsidRDefault="0078206F" w:rsidP="0078206F">
      <w:pPr>
        <w:pStyle w:val="Default"/>
        <w:ind w:left="720"/>
        <w:rPr>
          <w:color w:val="auto"/>
          <w:sz w:val="22"/>
        </w:rPr>
      </w:pPr>
    </w:p>
    <w:p w:rsidR="007107A6" w:rsidRPr="0078206F" w:rsidRDefault="007107A6" w:rsidP="0078206F">
      <w:pPr>
        <w:pStyle w:val="Default"/>
        <w:numPr>
          <w:ilvl w:val="0"/>
          <w:numId w:val="22"/>
        </w:numPr>
        <w:rPr>
          <w:i/>
          <w:color w:val="auto"/>
          <w:sz w:val="22"/>
        </w:rPr>
      </w:pPr>
      <w:r w:rsidRPr="0078206F">
        <w:rPr>
          <w:rFonts w:asciiTheme="minorHAnsi" w:eastAsiaTheme="minorHAnsi" w:hAnsiTheme="minorHAnsi"/>
          <w:i/>
          <w:sz w:val="22"/>
          <w:szCs w:val="22"/>
        </w:rPr>
        <w:t>Counter-terrorism and national security laws that encroach on rights and freedoms should nevertheless be justified, to ensure the laws are suitable, necessary and represent a proper balance between the public interest and individual rights.</w:t>
      </w:r>
    </w:p>
    <w:p w:rsidR="008C41E0" w:rsidRDefault="008C41E0" w:rsidP="001F6EF0">
      <w:pPr>
        <w:pStyle w:val="Default"/>
        <w:rPr>
          <w:b/>
          <w:color w:val="auto"/>
          <w:sz w:val="22"/>
        </w:rPr>
      </w:pPr>
    </w:p>
    <w:p w:rsidR="0078206F" w:rsidRPr="0078206F" w:rsidRDefault="0078206F" w:rsidP="0078206F">
      <w:pPr>
        <w:pStyle w:val="Default"/>
        <w:ind w:left="720"/>
        <w:rPr>
          <w:color w:val="auto"/>
          <w:sz w:val="22"/>
        </w:rPr>
      </w:pPr>
      <w:r w:rsidRPr="0078206F">
        <w:rPr>
          <w:color w:val="auto"/>
          <w:sz w:val="22"/>
        </w:rPr>
        <w:t xml:space="preserve">The ALRC </w:t>
      </w:r>
      <w:r>
        <w:rPr>
          <w:color w:val="auto"/>
          <w:sz w:val="22"/>
        </w:rPr>
        <w:t>referred the matter to the INSLM as the independent arbiter of national security related matters.</w:t>
      </w:r>
    </w:p>
    <w:p w:rsidR="0078206F" w:rsidRDefault="0078206F" w:rsidP="001F6EF0">
      <w:pPr>
        <w:pStyle w:val="Default"/>
        <w:rPr>
          <w:b/>
          <w:color w:val="auto"/>
          <w:sz w:val="22"/>
        </w:rPr>
      </w:pPr>
    </w:p>
    <w:p w:rsidR="00175656" w:rsidRPr="00175656" w:rsidRDefault="00166E49" w:rsidP="001F6EF0">
      <w:pPr>
        <w:pStyle w:val="Default"/>
        <w:rPr>
          <w:b/>
          <w:color w:val="auto"/>
          <w:sz w:val="22"/>
        </w:rPr>
      </w:pPr>
      <w:r w:rsidRPr="00175656">
        <w:rPr>
          <w:b/>
          <w:color w:val="auto"/>
          <w:sz w:val="22"/>
        </w:rPr>
        <w:t>REPUTATION OF ALLEGED SUBJECT OFFICERS</w:t>
      </w:r>
    </w:p>
    <w:p w:rsidR="004D46FB" w:rsidRDefault="004D46FB" w:rsidP="004D46FB">
      <w:pPr>
        <w:pStyle w:val="ListParagraph"/>
        <w:spacing w:after="0" w:line="240" w:lineRule="auto"/>
        <w:rPr>
          <w:rFonts w:ascii="Calibri" w:eastAsia="Times New Roman" w:hAnsi="Calibri" w:cs="Arial"/>
          <w:color w:val="222222"/>
          <w:lang w:eastAsia="en-AU"/>
        </w:rPr>
      </w:pPr>
    </w:p>
    <w:p w:rsidR="006D57EF" w:rsidRDefault="004D46FB" w:rsidP="00E01F29">
      <w:pPr>
        <w:pStyle w:val="ListParagraph"/>
        <w:spacing w:after="0" w:line="240" w:lineRule="auto"/>
        <w:ind w:left="0"/>
        <w:rPr>
          <w:rFonts w:eastAsia="Times New Roman" w:cs="Arial"/>
          <w:lang w:eastAsia="en-AU"/>
        </w:rPr>
      </w:pPr>
      <w:r>
        <w:rPr>
          <w:rFonts w:ascii="Calibri" w:eastAsia="Times New Roman" w:hAnsi="Calibri" w:cs="Arial"/>
          <w:color w:val="222222"/>
          <w:lang w:eastAsia="en-AU"/>
        </w:rPr>
        <w:t xml:space="preserve">We </w:t>
      </w:r>
      <w:r>
        <w:rPr>
          <w:rFonts w:eastAsia="Times New Roman" w:cs="Arial"/>
          <w:lang w:eastAsia="en-AU"/>
        </w:rPr>
        <w:t>do</w:t>
      </w:r>
      <w:r w:rsidR="00CF3875" w:rsidRPr="004D46FB">
        <w:rPr>
          <w:rFonts w:eastAsia="Times New Roman" w:cs="Arial"/>
          <w:lang w:eastAsia="en-AU"/>
        </w:rPr>
        <w:t xml:space="preserve"> not dispute </w:t>
      </w:r>
      <w:r>
        <w:rPr>
          <w:rFonts w:eastAsia="Times New Roman" w:cs="Arial"/>
          <w:lang w:eastAsia="en-AU"/>
        </w:rPr>
        <w:t xml:space="preserve">that </w:t>
      </w:r>
      <w:r w:rsidR="00CF3875" w:rsidRPr="004D46FB">
        <w:rPr>
          <w:rFonts w:eastAsia="Times New Roman" w:cs="Arial"/>
          <w:lang w:eastAsia="en-AU"/>
        </w:rPr>
        <w:t>modern media publish widely or that a report that a particular person is bei</w:t>
      </w:r>
      <w:r>
        <w:rPr>
          <w:rFonts w:eastAsia="Times New Roman" w:cs="Arial"/>
          <w:lang w:eastAsia="en-AU"/>
        </w:rPr>
        <w:t>ng investigated by the CCC may</w:t>
      </w:r>
      <w:r w:rsidR="00CF3875" w:rsidRPr="004D46FB">
        <w:rPr>
          <w:rFonts w:eastAsia="Times New Roman" w:cs="Arial"/>
          <w:lang w:eastAsia="en-AU"/>
        </w:rPr>
        <w:t xml:space="preserve"> impact on that person’s reputation.  </w:t>
      </w:r>
      <w:r w:rsidR="00E01F29">
        <w:rPr>
          <w:rFonts w:eastAsia="Times New Roman" w:cs="Arial"/>
          <w:lang w:eastAsia="en-AU"/>
        </w:rPr>
        <w:t>However:</w:t>
      </w:r>
    </w:p>
    <w:p w:rsidR="006D57EF" w:rsidRDefault="006D57EF" w:rsidP="00E01F29">
      <w:pPr>
        <w:pStyle w:val="ListParagraph"/>
        <w:spacing w:after="0" w:line="240" w:lineRule="auto"/>
        <w:ind w:left="0"/>
        <w:rPr>
          <w:rFonts w:eastAsia="Times New Roman" w:cs="Arial"/>
          <w:lang w:eastAsia="en-AU"/>
        </w:rPr>
      </w:pPr>
    </w:p>
    <w:p w:rsidR="006D57EF" w:rsidRDefault="00CF3875" w:rsidP="00E01F29">
      <w:pPr>
        <w:pStyle w:val="ListParagraph"/>
        <w:numPr>
          <w:ilvl w:val="0"/>
          <w:numId w:val="20"/>
        </w:numPr>
        <w:spacing w:after="0" w:line="240" w:lineRule="auto"/>
        <w:rPr>
          <w:rFonts w:eastAsia="Times New Roman" w:cs="Arial"/>
          <w:lang w:eastAsia="en-AU"/>
        </w:rPr>
      </w:pPr>
      <w:r w:rsidRPr="006D57EF">
        <w:rPr>
          <w:rFonts w:eastAsia="Times New Roman" w:cs="Arial"/>
          <w:lang w:eastAsia="en-AU"/>
        </w:rPr>
        <w:t>There is no difference between a report that the CCC is conducting an investigation as compared with a report that ASIC, Fair Trading or any other similar body is investigating;</w:t>
      </w:r>
    </w:p>
    <w:p w:rsidR="006D57EF" w:rsidRDefault="006D57EF" w:rsidP="00E01F29">
      <w:pPr>
        <w:pStyle w:val="ListParagraph"/>
        <w:spacing w:after="0" w:line="240" w:lineRule="auto"/>
        <w:rPr>
          <w:rFonts w:eastAsia="Times New Roman" w:cs="Arial"/>
          <w:lang w:eastAsia="en-AU"/>
        </w:rPr>
      </w:pPr>
    </w:p>
    <w:p w:rsidR="006D57EF" w:rsidRDefault="00CF3875" w:rsidP="00E01F29">
      <w:pPr>
        <w:pStyle w:val="ListParagraph"/>
        <w:numPr>
          <w:ilvl w:val="0"/>
          <w:numId w:val="20"/>
        </w:numPr>
        <w:spacing w:after="0" w:line="240" w:lineRule="auto"/>
        <w:rPr>
          <w:rFonts w:eastAsia="Times New Roman" w:cs="Arial"/>
          <w:lang w:eastAsia="en-AU"/>
        </w:rPr>
      </w:pPr>
      <w:r w:rsidRPr="006D57EF">
        <w:rPr>
          <w:rFonts w:eastAsia="Times New Roman" w:cs="Arial"/>
          <w:lang w:eastAsia="en-AU"/>
        </w:rPr>
        <w:t>Pursuant to longstanding principles of defamation law an allegation that there may be reasonable grounds to suspect a person has engaged in wrongdoing bec</w:t>
      </w:r>
      <w:r w:rsidR="00970474">
        <w:rPr>
          <w:rFonts w:eastAsia="Times New Roman" w:cs="Arial"/>
          <w:lang w:eastAsia="en-AU"/>
        </w:rPr>
        <w:t>ause they are being investigated</w:t>
      </w:r>
      <w:r w:rsidRPr="006D57EF">
        <w:rPr>
          <w:rFonts w:eastAsia="Times New Roman" w:cs="Arial"/>
          <w:lang w:eastAsia="en-AU"/>
        </w:rPr>
        <w:t xml:space="preserve"> is distinct from an imputation that that same person has been charged and/or that such a charge is well-founded</w:t>
      </w:r>
      <w:r w:rsidR="006D57EF" w:rsidRPr="006D57EF">
        <w:rPr>
          <w:rFonts w:eastAsia="Times New Roman" w:cs="Arial"/>
          <w:lang w:eastAsia="en-AU"/>
        </w:rPr>
        <w:t>.</w:t>
      </w:r>
      <w:r w:rsidR="006D57EF">
        <w:rPr>
          <w:rFonts w:eastAsia="Times New Roman" w:cs="Arial"/>
          <w:lang w:eastAsia="en-AU"/>
        </w:rPr>
        <w:t xml:space="preserve">  We note here </w:t>
      </w:r>
      <w:r w:rsidR="006D57EF" w:rsidRPr="006D57EF">
        <w:rPr>
          <w:rFonts w:eastAsia="Times New Roman" w:cs="Arial"/>
          <w:i/>
          <w:lang w:eastAsia="en-AU"/>
        </w:rPr>
        <w:t>Favell v Queensland Newspapers</w:t>
      </w:r>
      <w:r w:rsidR="00EB071B">
        <w:rPr>
          <w:rFonts w:eastAsia="Times New Roman" w:cs="Arial"/>
          <w:i/>
          <w:lang w:eastAsia="en-AU"/>
        </w:rPr>
        <w:t xml:space="preserve"> </w:t>
      </w:r>
      <w:r w:rsidR="00EB071B" w:rsidRPr="00EB071B">
        <w:rPr>
          <w:rFonts w:eastAsia="Times New Roman" w:cs="Arial"/>
          <w:lang w:eastAsia="en-AU"/>
        </w:rPr>
        <w:t>[2014] QCA 135</w:t>
      </w:r>
      <w:r w:rsidR="006D57EF">
        <w:rPr>
          <w:rStyle w:val="FootnoteReference"/>
          <w:rFonts w:eastAsia="Times New Roman" w:cs="Arial"/>
          <w:lang w:eastAsia="en-AU"/>
        </w:rPr>
        <w:footnoteReference w:id="7"/>
      </w:r>
      <w:r w:rsidRPr="006D57EF">
        <w:rPr>
          <w:rFonts w:eastAsia="Times New Roman" w:cs="Arial"/>
          <w:lang w:eastAsia="en-AU"/>
        </w:rPr>
        <w:t xml:space="preserve"> </w:t>
      </w:r>
      <w:r w:rsidR="006D57EF">
        <w:rPr>
          <w:rFonts w:eastAsia="Times New Roman" w:cs="Arial"/>
          <w:lang w:eastAsia="en-AU"/>
        </w:rPr>
        <w:t>at [31]</w:t>
      </w:r>
      <w:r w:rsidRPr="006D57EF">
        <w:rPr>
          <w:rFonts w:eastAsia="Times New Roman" w:cs="Arial"/>
          <w:lang w:eastAsia="en-AU"/>
        </w:rPr>
        <w:t>;</w:t>
      </w:r>
    </w:p>
    <w:p w:rsidR="006D57EF" w:rsidRPr="006D57EF" w:rsidRDefault="006D57EF" w:rsidP="00E01F29">
      <w:pPr>
        <w:pStyle w:val="ListParagraph"/>
        <w:spacing w:after="0" w:line="240" w:lineRule="auto"/>
        <w:rPr>
          <w:rFonts w:eastAsia="Times New Roman" w:cs="Arial"/>
          <w:lang w:eastAsia="en-AU"/>
        </w:rPr>
      </w:pPr>
    </w:p>
    <w:p w:rsidR="00B3710B" w:rsidRPr="00B3710B" w:rsidRDefault="006D57EF" w:rsidP="00B3710B">
      <w:pPr>
        <w:pStyle w:val="ListParagraph"/>
        <w:numPr>
          <w:ilvl w:val="0"/>
          <w:numId w:val="20"/>
        </w:numPr>
        <w:spacing w:after="0" w:line="240" w:lineRule="auto"/>
        <w:rPr>
          <w:rFonts w:eastAsia="Times New Roman" w:cs="Arial"/>
          <w:lang w:eastAsia="en-AU"/>
        </w:rPr>
      </w:pPr>
      <w:r>
        <w:rPr>
          <w:rFonts w:eastAsia="Times New Roman" w:cs="Arial"/>
          <w:lang w:eastAsia="en-AU"/>
        </w:rPr>
        <w:t>The</w:t>
      </w:r>
      <w:r w:rsidR="00E01F29">
        <w:rPr>
          <w:rFonts w:eastAsia="Times New Roman" w:cs="Arial"/>
          <w:lang w:eastAsia="en-AU"/>
        </w:rPr>
        <w:t>re</w:t>
      </w:r>
      <w:r>
        <w:rPr>
          <w:rFonts w:eastAsia="Times New Roman" w:cs="Arial"/>
          <w:lang w:eastAsia="en-AU"/>
        </w:rPr>
        <w:t xml:space="preserve"> is currently no</w:t>
      </w:r>
      <w:r w:rsidR="00CF3875" w:rsidRPr="006D57EF">
        <w:rPr>
          <w:rFonts w:eastAsia="Times New Roman" w:cs="Arial"/>
          <w:lang w:eastAsia="en-AU"/>
        </w:rPr>
        <w:t xml:space="preserve"> blanket ban prohibiting all reporting of CCC proceedings/the identification of those being investigated.  The prohibition in </w:t>
      </w:r>
      <w:r>
        <w:rPr>
          <w:rFonts w:eastAsia="Times New Roman" w:cs="Arial"/>
          <w:lang w:eastAsia="en-AU"/>
        </w:rPr>
        <w:t xml:space="preserve">section 202 of the </w:t>
      </w:r>
      <w:r w:rsidRPr="006D57EF">
        <w:rPr>
          <w:rFonts w:eastAsia="Times New Roman" w:cs="Arial"/>
          <w:i/>
          <w:lang w:eastAsia="en-AU"/>
        </w:rPr>
        <w:t>Crime and Corruption Act</w:t>
      </w:r>
      <w:r>
        <w:rPr>
          <w:rStyle w:val="FootnoteReference"/>
          <w:rFonts w:eastAsia="Times New Roman" w:cs="Arial"/>
          <w:lang w:eastAsia="en-AU"/>
        </w:rPr>
        <w:footnoteReference w:id="8"/>
      </w:r>
      <w:r>
        <w:rPr>
          <w:rFonts w:eastAsia="Times New Roman" w:cs="Arial"/>
          <w:lang w:eastAsia="en-AU"/>
        </w:rPr>
        <w:t xml:space="preserve"> </w:t>
      </w:r>
      <w:r w:rsidR="00CF3875" w:rsidRPr="006D57EF">
        <w:rPr>
          <w:rFonts w:eastAsia="Times New Roman" w:cs="Arial"/>
          <w:lang w:eastAsia="en-AU"/>
        </w:rPr>
        <w:t>is limited to reports of:</w:t>
      </w:r>
    </w:p>
    <w:p w:rsidR="00CF3875" w:rsidRPr="004D46FB" w:rsidRDefault="00A251F3" w:rsidP="00E01F29">
      <w:pPr>
        <w:ind w:left="1701" w:hanging="567"/>
        <w:rPr>
          <w:rFonts w:eastAsia="Times New Roman" w:cs="Arial"/>
          <w:lang w:eastAsia="en-AU"/>
        </w:rPr>
      </w:pPr>
      <w:r>
        <w:rPr>
          <w:rFonts w:eastAsia="Times New Roman" w:cs="Arial"/>
          <w:lang w:eastAsia="en-AU"/>
        </w:rPr>
        <w:t>(a)</w:t>
      </w:r>
      <w:r>
        <w:rPr>
          <w:rFonts w:eastAsia="Times New Roman" w:cs="Arial"/>
          <w:lang w:eastAsia="en-AU"/>
        </w:rPr>
        <w:tab/>
        <w:t>A</w:t>
      </w:r>
      <w:r w:rsidR="00CF3875" w:rsidRPr="004D46FB">
        <w:rPr>
          <w:rFonts w:eastAsia="Times New Roman" w:cs="Arial"/>
          <w:lang w:eastAsia="en-AU"/>
        </w:rPr>
        <w:t>n answer given, or document or thing produced, at a commission hearing, or anything about the answer, document or thing; or</w:t>
      </w:r>
    </w:p>
    <w:p w:rsidR="00CF3875" w:rsidRPr="004D46FB" w:rsidRDefault="00A251F3" w:rsidP="00E01F29">
      <w:pPr>
        <w:ind w:left="1701" w:hanging="567"/>
        <w:rPr>
          <w:rFonts w:eastAsia="Times New Roman" w:cs="Arial"/>
          <w:lang w:eastAsia="en-AU"/>
        </w:rPr>
      </w:pPr>
      <w:r>
        <w:rPr>
          <w:rFonts w:eastAsia="Times New Roman" w:cs="Arial"/>
          <w:lang w:eastAsia="en-AU"/>
        </w:rPr>
        <w:t>(b)</w:t>
      </w:r>
      <w:r>
        <w:rPr>
          <w:rFonts w:eastAsia="Times New Roman" w:cs="Arial"/>
          <w:lang w:eastAsia="en-AU"/>
        </w:rPr>
        <w:tab/>
        <w:t>I</w:t>
      </w:r>
      <w:r w:rsidR="00CF3875" w:rsidRPr="004D46FB">
        <w:rPr>
          <w:rFonts w:eastAsia="Times New Roman" w:cs="Arial"/>
          <w:lang w:eastAsia="en-AU"/>
        </w:rPr>
        <w:t>nformation that might enable the existence or identity of a person who is about to give or has given evidence before the commission (witness) at a hearing to be ascertained,</w:t>
      </w:r>
    </w:p>
    <w:p w:rsidR="00E01F29" w:rsidRDefault="00CF3875" w:rsidP="00E01F29">
      <w:pPr>
        <w:ind w:left="1134"/>
        <w:rPr>
          <w:rFonts w:eastAsia="Times New Roman" w:cs="Arial"/>
          <w:lang w:eastAsia="en-AU"/>
        </w:rPr>
      </w:pPr>
      <w:r w:rsidRPr="004D46FB">
        <w:rPr>
          <w:rFonts w:eastAsia="Times New Roman" w:cs="Arial"/>
          <w:lang w:eastAsia="en-AU"/>
        </w:rPr>
        <w:t>assuming one of the various exemptions to this prohibition does not apply.</w:t>
      </w:r>
    </w:p>
    <w:p w:rsidR="00E01F29" w:rsidRDefault="00E01F29" w:rsidP="00E01F29">
      <w:pPr>
        <w:ind w:left="1134"/>
        <w:rPr>
          <w:rFonts w:eastAsia="Times New Roman" w:cs="Arial"/>
          <w:lang w:eastAsia="en-AU"/>
        </w:rPr>
      </w:pPr>
    </w:p>
    <w:p w:rsidR="00E01F29" w:rsidRDefault="00CF3875" w:rsidP="00E01F29">
      <w:pPr>
        <w:ind w:left="709"/>
        <w:rPr>
          <w:rFonts w:eastAsia="Times New Roman" w:cs="Arial"/>
          <w:color w:val="000000"/>
          <w:lang w:eastAsia="en-AU"/>
        </w:rPr>
      </w:pPr>
      <w:r w:rsidRPr="000D0E0E">
        <w:rPr>
          <w:rFonts w:eastAsia="Times New Roman" w:cs="Arial"/>
          <w:color w:val="000000"/>
          <w:lang w:eastAsia="en-AU"/>
        </w:rPr>
        <w:t>That does not prevent, for example, a report that a particular person has been referred to the CCC for investigati</w:t>
      </w:r>
      <w:r w:rsidR="00E01F29">
        <w:rPr>
          <w:rFonts w:eastAsia="Times New Roman" w:cs="Arial"/>
          <w:color w:val="000000"/>
          <w:lang w:eastAsia="en-AU"/>
        </w:rPr>
        <w:t xml:space="preserve">on, that the CCC has accepted </w:t>
      </w:r>
      <w:r w:rsidRPr="000D0E0E">
        <w:rPr>
          <w:rFonts w:eastAsia="Times New Roman" w:cs="Arial"/>
          <w:color w:val="000000"/>
          <w:lang w:eastAsia="en-AU"/>
        </w:rPr>
        <w:t xml:space="preserve">that </w:t>
      </w:r>
      <w:r w:rsidR="00E01F29">
        <w:rPr>
          <w:rFonts w:eastAsia="Times New Roman" w:cs="Arial"/>
          <w:color w:val="000000"/>
          <w:lang w:eastAsia="en-AU"/>
        </w:rPr>
        <w:t xml:space="preserve">a </w:t>
      </w:r>
      <w:r w:rsidRPr="000D0E0E">
        <w:rPr>
          <w:rFonts w:eastAsia="Times New Roman" w:cs="Arial"/>
          <w:color w:val="000000"/>
          <w:lang w:eastAsia="en-AU"/>
        </w:rPr>
        <w:t>particular person should, in fact, be investigated or the outcome of a CCC investigation.</w:t>
      </w:r>
      <w:r w:rsidR="00E01F29">
        <w:rPr>
          <w:rFonts w:eastAsia="Times New Roman" w:cs="Arial"/>
          <w:color w:val="000000"/>
          <w:lang w:eastAsia="en-AU"/>
        </w:rPr>
        <w:t xml:space="preserve">  </w:t>
      </w:r>
    </w:p>
    <w:p w:rsidR="00E01F29" w:rsidRDefault="00E01F29" w:rsidP="00E01F29">
      <w:pPr>
        <w:ind w:left="709"/>
        <w:rPr>
          <w:rFonts w:eastAsia="Times New Roman" w:cs="Arial"/>
          <w:color w:val="000000"/>
          <w:lang w:eastAsia="en-AU"/>
        </w:rPr>
      </w:pPr>
    </w:p>
    <w:p w:rsidR="00E01F29" w:rsidRDefault="00E01F29" w:rsidP="00E01F29">
      <w:pPr>
        <w:ind w:left="709"/>
        <w:rPr>
          <w:rFonts w:eastAsia="Times New Roman" w:cs="Arial"/>
          <w:color w:val="000000"/>
          <w:lang w:eastAsia="en-AU"/>
        </w:rPr>
      </w:pPr>
      <w:r>
        <w:rPr>
          <w:rFonts w:eastAsia="Times New Roman" w:cs="Arial"/>
          <w:color w:val="000000"/>
          <w:lang w:eastAsia="en-AU"/>
        </w:rPr>
        <w:t xml:space="preserve">Given the point directly above – that the law currently does not gag allegations of corruption being made public – it is of concern that the Discussion Paper lacks evidence of the </w:t>
      </w:r>
      <w:r w:rsidR="00A251F3">
        <w:rPr>
          <w:rFonts w:eastAsia="Times New Roman" w:cs="Arial"/>
          <w:color w:val="000000"/>
          <w:lang w:eastAsia="en-AU"/>
        </w:rPr>
        <w:t>‘</w:t>
      </w:r>
      <w:r>
        <w:rPr>
          <w:rFonts w:eastAsia="Times New Roman" w:cs="Arial"/>
          <w:color w:val="000000"/>
          <w:lang w:eastAsia="en-AU"/>
        </w:rPr>
        <w:t>problem</w:t>
      </w:r>
      <w:r w:rsidR="00A251F3">
        <w:rPr>
          <w:rFonts w:eastAsia="Times New Roman" w:cs="Arial"/>
          <w:color w:val="000000"/>
          <w:lang w:eastAsia="en-AU"/>
        </w:rPr>
        <w:t>’</w:t>
      </w:r>
      <w:r>
        <w:rPr>
          <w:rFonts w:eastAsia="Times New Roman" w:cs="Arial"/>
          <w:color w:val="000000"/>
          <w:lang w:eastAsia="en-AU"/>
        </w:rPr>
        <w:t xml:space="preserve"> that </w:t>
      </w:r>
      <w:r w:rsidR="00A251F3">
        <w:rPr>
          <w:rFonts w:eastAsia="Times New Roman" w:cs="Arial"/>
          <w:color w:val="000000"/>
          <w:lang w:eastAsia="en-AU"/>
        </w:rPr>
        <w:t>‘</w:t>
      </w:r>
      <w:r>
        <w:rPr>
          <w:rFonts w:eastAsia="Times New Roman" w:cs="Arial"/>
          <w:color w:val="000000"/>
          <w:lang w:eastAsia="en-AU"/>
        </w:rPr>
        <w:t>warrants</w:t>
      </w:r>
      <w:r w:rsidR="00A251F3">
        <w:rPr>
          <w:rFonts w:eastAsia="Times New Roman" w:cs="Arial"/>
          <w:color w:val="000000"/>
          <w:lang w:eastAsia="en-AU"/>
        </w:rPr>
        <w:t>’</w:t>
      </w:r>
      <w:r>
        <w:rPr>
          <w:rFonts w:eastAsia="Times New Roman" w:cs="Arial"/>
          <w:color w:val="000000"/>
          <w:lang w:eastAsia="en-AU"/>
        </w:rPr>
        <w:t xml:space="preserve"> a </w:t>
      </w:r>
      <w:r w:rsidR="00A251F3">
        <w:rPr>
          <w:rFonts w:eastAsia="Times New Roman" w:cs="Arial"/>
          <w:color w:val="000000"/>
          <w:lang w:eastAsia="en-AU"/>
        </w:rPr>
        <w:t>‘</w:t>
      </w:r>
      <w:r>
        <w:rPr>
          <w:rFonts w:eastAsia="Times New Roman" w:cs="Arial"/>
          <w:color w:val="000000"/>
          <w:lang w:eastAsia="en-AU"/>
        </w:rPr>
        <w:t>fix</w:t>
      </w:r>
      <w:r w:rsidR="00A251F3">
        <w:rPr>
          <w:rFonts w:eastAsia="Times New Roman" w:cs="Arial"/>
          <w:color w:val="000000"/>
          <w:lang w:eastAsia="en-AU"/>
        </w:rPr>
        <w:t>’</w:t>
      </w:r>
      <w:r>
        <w:rPr>
          <w:rFonts w:eastAsia="Times New Roman" w:cs="Arial"/>
          <w:color w:val="000000"/>
          <w:lang w:eastAsia="en-AU"/>
        </w:rPr>
        <w:t xml:space="preserve"> </w:t>
      </w:r>
      <w:r w:rsidR="006C75F3">
        <w:rPr>
          <w:rFonts w:eastAsia="Times New Roman" w:cs="Arial"/>
          <w:color w:val="000000"/>
          <w:lang w:eastAsia="en-AU"/>
        </w:rPr>
        <w:t xml:space="preserve">consisting of legislation and other options to prevent allegations of corrupt conduct of public officials being made public.  We further this position at </w:t>
      </w:r>
      <w:r w:rsidR="006C75F3" w:rsidRPr="006C75F3">
        <w:rPr>
          <w:rFonts w:eastAsia="Times New Roman" w:cs="Arial"/>
          <w:b/>
          <w:color w:val="000000"/>
          <w:lang w:eastAsia="en-AU"/>
        </w:rPr>
        <w:t>Section B</w:t>
      </w:r>
      <w:r w:rsidR="006C75F3">
        <w:rPr>
          <w:rFonts w:eastAsia="Times New Roman" w:cs="Arial"/>
          <w:color w:val="000000"/>
          <w:lang w:eastAsia="en-AU"/>
        </w:rPr>
        <w:t xml:space="preserve"> of this submission.</w:t>
      </w:r>
    </w:p>
    <w:p w:rsidR="006C75F3" w:rsidRDefault="006C75F3" w:rsidP="00E01F29">
      <w:pPr>
        <w:ind w:left="709"/>
        <w:rPr>
          <w:rFonts w:eastAsia="Times New Roman" w:cs="Arial"/>
          <w:color w:val="000000"/>
          <w:lang w:eastAsia="en-AU"/>
        </w:rPr>
      </w:pPr>
    </w:p>
    <w:p w:rsidR="00A251F3" w:rsidRDefault="00A251F3" w:rsidP="00A251F3">
      <w:pPr>
        <w:pStyle w:val="ListParagraph"/>
        <w:spacing w:after="0" w:line="240" w:lineRule="auto"/>
        <w:ind w:left="0"/>
        <w:rPr>
          <w:rFonts w:eastAsia="Times New Roman" w:cs="Arial"/>
          <w:lang w:eastAsia="en-AU"/>
        </w:rPr>
      </w:pPr>
      <w:r>
        <w:rPr>
          <w:rFonts w:eastAsia="Times New Roman" w:cs="Arial"/>
          <w:lang w:eastAsia="en-AU"/>
        </w:rPr>
        <w:t>With regard to considering the reputation of alleged public officials, we</w:t>
      </w:r>
      <w:r w:rsidRPr="00A251F3">
        <w:rPr>
          <w:rFonts w:eastAsia="Times New Roman" w:cs="Arial"/>
          <w:lang w:eastAsia="en-AU"/>
        </w:rPr>
        <w:t xml:space="preserve"> submit</w:t>
      </w:r>
      <w:r w:rsidR="00CF3875" w:rsidRPr="00A251F3">
        <w:rPr>
          <w:rFonts w:eastAsia="Times New Roman" w:cs="Arial"/>
          <w:lang w:eastAsia="en-AU"/>
        </w:rPr>
        <w:t xml:space="preserve"> that</w:t>
      </w:r>
      <w:r w:rsidR="00CF3875" w:rsidRPr="006C75F3">
        <w:rPr>
          <w:rFonts w:eastAsia="Times New Roman" w:cs="Arial"/>
          <w:lang w:eastAsia="en-AU"/>
        </w:rPr>
        <w:t xml:space="preserve"> the more appropriate and adapted way to protect reputation is to allow for a full report of CCC proceedings</w:t>
      </w:r>
      <w:r w:rsidR="00B3710B">
        <w:rPr>
          <w:rFonts w:eastAsia="Times New Roman" w:cs="Arial"/>
          <w:lang w:eastAsia="en-AU"/>
        </w:rPr>
        <w:t xml:space="preserve"> </w:t>
      </w:r>
      <w:r w:rsidR="00CF3875" w:rsidRPr="006C75F3">
        <w:rPr>
          <w:rFonts w:eastAsia="Times New Roman" w:cs="Arial"/>
          <w:lang w:eastAsia="en-AU"/>
        </w:rPr>
        <w:t xml:space="preserve">– which would include the person the subject of the investigation defending him or herself – </w:t>
      </w:r>
      <w:r w:rsidR="00B3710B">
        <w:rPr>
          <w:rFonts w:eastAsia="Times New Roman" w:cs="Arial"/>
          <w:lang w:eastAsia="en-AU"/>
        </w:rPr>
        <w:t>and</w:t>
      </w:r>
      <w:r w:rsidR="00CF3875" w:rsidRPr="006C75F3">
        <w:rPr>
          <w:rFonts w:eastAsia="Times New Roman" w:cs="Arial"/>
          <w:lang w:eastAsia="en-AU"/>
        </w:rPr>
        <w:t xml:space="preserve"> amend the </w:t>
      </w:r>
      <w:r w:rsidR="00B3710B" w:rsidRPr="00B3710B">
        <w:rPr>
          <w:rFonts w:eastAsia="Times New Roman" w:cs="Arial"/>
          <w:i/>
          <w:lang w:eastAsia="en-AU"/>
        </w:rPr>
        <w:t xml:space="preserve">Crime and Corruption </w:t>
      </w:r>
      <w:r w:rsidR="00CF3875" w:rsidRPr="00B3710B">
        <w:rPr>
          <w:rFonts w:eastAsia="Times New Roman" w:cs="Arial"/>
          <w:i/>
          <w:lang w:eastAsia="en-AU"/>
        </w:rPr>
        <w:t xml:space="preserve">Act </w:t>
      </w:r>
      <w:r w:rsidR="00CF3875" w:rsidRPr="006C75F3">
        <w:rPr>
          <w:rFonts w:eastAsia="Times New Roman" w:cs="Arial"/>
          <w:lang w:eastAsia="en-AU"/>
        </w:rPr>
        <w:t xml:space="preserve">to include a requirement that in the event that the CCC finds the person </w:t>
      </w:r>
      <w:r w:rsidR="00CF3875" w:rsidRPr="00B3710B">
        <w:rPr>
          <w:rFonts w:eastAsia="Times New Roman" w:cs="Arial"/>
          <w:u w:val="single"/>
          <w:lang w:eastAsia="en-AU"/>
        </w:rPr>
        <w:t>has not</w:t>
      </w:r>
      <w:r w:rsidR="00CF3875" w:rsidRPr="00B3710B">
        <w:rPr>
          <w:rFonts w:eastAsia="Times New Roman" w:cs="Arial"/>
          <w:lang w:eastAsia="en-AU"/>
        </w:rPr>
        <w:t xml:space="preserve"> engaged in any </w:t>
      </w:r>
      <w:r w:rsidR="00CF3875" w:rsidRPr="00392282">
        <w:rPr>
          <w:rFonts w:eastAsia="Times New Roman" w:cs="Arial"/>
          <w:lang w:eastAsia="en-AU"/>
        </w:rPr>
        <w:t>wrongdoing</w:t>
      </w:r>
      <w:r w:rsidR="00CF3875" w:rsidRPr="006C75F3">
        <w:rPr>
          <w:rFonts w:eastAsia="Times New Roman" w:cs="Arial"/>
          <w:lang w:eastAsia="en-AU"/>
        </w:rPr>
        <w:t xml:space="preserve"> that </w:t>
      </w:r>
      <w:r w:rsidR="006C5185">
        <w:rPr>
          <w:rFonts w:eastAsia="Times New Roman" w:cs="Arial"/>
          <w:lang w:eastAsia="en-AU"/>
        </w:rPr>
        <w:t xml:space="preserve">a CCC </w:t>
      </w:r>
      <w:r w:rsidR="00CF3875" w:rsidRPr="006C75F3">
        <w:rPr>
          <w:rFonts w:eastAsia="Times New Roman" w:cs="Arial"/>
          <w:lang w:eastAsia="en-AU"/>
        </w:rPr>
        <w:t xml:space="preserve">corrective notice must be published.  </w:t>
      </w:r>
    </w:p>
    <w:p w:rsidR="00A251F3" w:rsidRDefault="00A251F3" w:rsidP="00A251F3">
      <w:pPr>
        <w:pStyle w:val="ListParagraph"/>
        <w:spacing w:after="0" w:line="240" w:lineRule="auto"/>
        <w:ind w:left="0"/>
        <w:rPr>
          <w:rFonts w:eastAsia="Times New Roman" w:cs="Arial"/>
          <w:lang w:eastAsia="en-AU"/>
        </w:rPr>
      </w:pPr>
    </w:p>
    <w:p w:rsidR="00A251F3" w:rsidRDefault="00CF3875" w:rsidP="00A251F3">
      <w:pPr>
        <w:pStyle w:val="ListParagraph"/>
        <w:spacing w:after="0" w:line="240" w:lineRule="auto"/>
        <w:ind w:left="0"/>
        <w:rPr>
          <w:rFonts w:eastAsia="Times New Roman" w:cs="Arial"/>
          <w:lang w:eastAsia="en-AU"/>
        </w:rPr>
      </w:pPr>
      <w:r w:rsidRPr="006C75F3">
        <w:rPr>
          <w:rFonts w:eastAsia="Times New Roman" w:cs="Arial"/>
          <w:lang w:eastAsia="en-AU"/>
        </w:rPr>
        <w:t>That amendment could include a requirement that the CCC:</w:t>
      </w:r>
    </w:p>
    <w:p w:rsidR="00B3710B" w:rsidRPr="00A251F3" w:rsidRDefault="00B3710B" w:rsidP="00A251F3">
      <w:pPr>
        <w:pStyle w:val="ListParagraph"/>
        <w:spacing w:after="0" w:line="240" w:lineRule="auto"/>
        <w:ind w:left="0"/>
        <w:rPr>
          <w:rFonts w:eastAsia="Times New Roman" w:cs="Arial"/>
          <w:lang w:eastAsia="en-AU"/>
        </w:rPr>
      </w:pPr>
    </w:p>
    <w:p w:rsidR="00A251F3" w:rsidRDefault="00CF3875" w:rsidP="00A251F3">
      <w:pPr>
        <w:pStyle w:val="ListParagraph"/>
        <w:numPr>
          <w:ilvl w:val="0"/>
          <w:numId w:val="23"/>
        </w:numPr>
        <w:spacing w:after="0" w:line="240" w:lineRule="auto"/>
        <w:ind w:left="709" w:hanging="425"/>
        <w:rPr>
          <w:rFonts w:eastAsia="Times New Roman" w:cs="Arial"/>
          <w:i/>
          <w:lang w:eastAsia="en-AU"/>
        </w:rPr>
      </w:pPr>
      <w:r w:rsidRPr="006C75F3">
        <w:rPr>
          <w:rFonts w:eastAsia="Times New Roman" w:cs="Arial"/>
          <w:lang w:eastAsia="en-AU"/>
        </w:rPr>
        <w:t>Provides the person the subject of their investigation with a letter of comfort or other official notice exonerating their conduct;</w:t>
      </w:r>
    </w:p>
    <w:p w:rsidR="00A251F3" w:rsidRDefault="00CF3875" w:rsidP="00A251F3">
      <w:pPr>
        <w:pStyle w:val="ListParagraph"/>
        <w:numPr>
          <w:ilvl w:val="0"/>
          <w:numId w:val="23"/>
        </w:numPr>
        <w:spacing w:after="0" w:line="240" w:lineRule="auto"/>
        <w:ind w:left="709" w:hanging="425"/>
        <w:rPr>
          <w:rFonts w:eastAsia="Times New Roman" w:cs="Arial"/>
          <w:i/>
          <w:lang w:eastAsia="en-AU"/>
        </w:rPr>
      </w:pPr>
      <w:r w:rsidRPr="00A251F3">
        <w:rPr>
          <w:rFonts w:eastAsia="Times New Roman" w:cs="Arial"/>
          <w:lang w:eastAsia="en-AU"/>
        </w:rPr>
        <w:t>Publish a notice on its website advising all-comers that the person has been cleared; and/or</w:t>
      </w:r>
    </w:p>
    <w:p w:rsidR="00CF3875" w:rsidRPr="00A251F3" w:rsidRDefault="00CF3875" w:rsidP="00A251F3">
      <w:pPr>
        <w:pStyle w:val="ListParagraph"/>
        <w:numPr>
          <w:ilvl w:val="0"/>
          <w:numId w:val="23"/>
        </w:numPr>
        <w:spacing w:after="0" w:line="240" w:lineRule="auto"/>
        <w:ind w:left="709" w:hanging="425"/>
        <w:rPr>
          <w:rFonts w:eastAsia="Times New Roman" w:cs="Arial"/>
          <w:i/>
          <w:lang w:eastAsia="en-AU"/>
        </w:rPr>
      </w:pPr>
      <w:r w:rsidRPr="00A251F3">
        <w:rPr>
          <w:rFonts w:eastAsia="Times New Roman" w:cs="Arial"/>
          <w:lang w:eastAsia="en-AU"/>
        </w:rPr>
        <w:t>Publish notices in the media to the same effect.</w:t>
      </w:r>
    </w:p>
    <w:p w:rsidR="00CF3875" w:rsidRPr="006C75F3" w:rsidRDefault="00CF3875" w:rsidP="00CF3875">
      <w:pPr>
        <w:ind w:left="720"/>
        <w:rPr>
          <w:rFonts w:eastAsia="Times New Roman" w:cs="Arial"/>
          <w:lang w:eastAsia="en-AU"/>
        </w:rPr>
      </w:pPr>
    </w:p>
    <w:p w:rsidR="00CF3875" w:rsidRPr="006C75F3" w:rsidRDefault="00A251F3" w:rsidP="00A251F3">
      <w:pPr>
        <w:rPr>
          <w:rFonts w:eastAsia="Times New Roman" w:cs="Arial"/>
          <w:lang w:eastAsia="en-AU"/>
        </w:rPr>
      </w:pPr>
      <w:r>
        <w:rPr>
          <w:rFonts w:eastAsia="Times New Roman" w:cs="Arial"/>
          <w:lang w:eastAsia="en-AU"/>
        </w:rPr>
        <w:t>We note</w:t>
      </w:r>
      <w:r w:rsidR="00CF3875" w:rsidRPr="006C75F3">
        <w:rPr>
          <w:rFonts w:eastAsia="Times New Roman" w:cs="Arial"/>
          <w:lang w:eastAsia="en-AU"/>
        </w:rPr>
        <w:t xml:space="preserve"> that these are all measures which media publishers already implement to correct the record and can be engaged in on a without admission of liability basis.</w:t>
      </w:r>
    </w:p>
    <w:p w:rsidR="00EA4008" w:rsidRDefault="00EA4008" w:rsidP="001F6EF0">
      <w:pPr>
        <w:pStyle w:val="Default"/>
        <w:rPr>
          <w:color w:val="auto"/>
          <w:sz w:val="22"/>
        </w:rPr>
      </w:pPr>
    </w:p>
    <w:p w:rsidR="00175656" w:rsidRPr="00175656" w:rsidRDefault="00166E49" w:rsidP="001F6EF0">
      <w:pPr>
        <w:pStyle w:val="Default"/>
        <w:rPr>
          <w:b/>
          <w:color w:val="auto"/>
          <w:sz w:val="22"/>
        </w:rPr>
      </w:pPr>
      <w:r w:rsidRPr="00175656">
        <w:rPr>
          <w:b/>
          <w:color w:val="auto"/>
          <w:sz w:val="22"/>
        </w:rPr>
        <w:t>FAIR TRIAL</w:t>
      </w:r>
    </w:p>
    <w:p w:rsidR="00175656" w:rsidRDefault="00175656" w:rsidP="001F6EF0">
      <w:pPr>
        <w:pStyle w:val="Default"/>
        <w:rPr>
          <w:color w:val="auto"/>
          <w:sz w:val="22"/>
        </w:rPr>
      </w:pPr>
    </w:p>
    <w:p w:rsidR="00CF3875" w:rsidRDefault="00EB071B" w:rsidP="00EB071B">
      <w:pPr>
        <w:pStyle w:val="ListParagraph"/>
        <w:shd w:val="clear" w:color="auto" w:fill="FFFFFF"/>
        <w:spacing w:after="0" w:line="240" w:lineRule="auto"/>
        <w:ind w:left="0"/>
        <w:rPr>
          <w:rFonts w:eastAsia="Times New Roman" w:cs="Arial"/>
          <w:lang w:eastAsia="en-AU"/>
        </w:rPr>
      </w:pPr>
      <w:r w:rsidRPr="00EB071B">
        <w:rPr>
          <w:rFonts w:eastAsia="Times New Roman" w:cs="Arial"/>
          <w:lang w:eastAsia="en-AU"/>
        </w:rPr>
        <w:t xml:space="preserve">We reiterate the position articulated under the ‘Reputation of alleged subject officers’ section of this submission, citing </w:t>
      </w:r>
      <w:r w:rsidR="00CF3875" w:rsidRPr="00EB071B">
        <w:rPr>
          <w:rFonts w:eastAsia="Times New Roman" w:cs="Arial"/>
          <w:i/>
          <w:lang w:eastAsia="en-AU"/>
        </w:rPr>
        <w:t>Favell v Queensland Newspapers</w:t>
      </w:r>
      <w:r w:rsidRPr="00EB071B">
        <w:rPr>
          <w:rFonts w:eastAsia="Times New Roman" w:cs="Arial"/>
          <w:lang w:eastAsia="en-AU"/>
        </w:rPr>
        <w:t xml:space="preserve">, </w:t>
      </w:r>
      <w:r w:rsidR="00CF3875" w:rsidRPr="00EB071B">
        <w:rPr>
          <w:rFonts w:eastAsia="Times New Roman" w:cs="Arial"/>
          <w:lang w:eastAsia="en-AU"/>
        </w:rPr>
        <w:t>that there is a difference between an investigation into alleged conduct and charges being laid.</w:t>
      </w:r>
    </w:p>
    <w:p w:rsidR="00EB071B" w:rsidRDefault="00EB071B" w:rsidP="00EB071B">
      <w:pPr>
        <w:pStyle w:val="ListParagraph"/>
        <w:shd w:val="clear" w:color="auto" w:fill="FFFFFF"/>
        <w:spacing w:after="0" w:line="240" w:lineRule="auto"/>
        <w:ind w:left="0"/>
        <w:rPr>
          <w:rFonts w:eastAsia="Times New Roman" w:cs="Arial"/>
          <w:lang w:eastAsia="en-AU"/>
        </w:rPr>
      </w:pPr>
    </w:p>
    <w:p w:rsidR="00EB071B" w:rsidRDefault="00EB071B" w:rsidP="00EB071B">
      <w:pPr>
        <w:pStyle w:val="ListParagraph"/>
        <w:shd w:val="clear" w:color="auto" w:fill="FFFFFF"/>
        <w:spacing w:after="0" w:line="240" w:lineRule="auto"/>
        <w:ind w:left="0"/>
        <w:rPr>
          <w:rFonts w:eastAsia="Times New Roman" w:cs="Arial"/>
          <w:lang w:eastAsia="en-AU"/>
        </w:rPr>
      </w:pPr>
      <w:r>
        <w:rPr>
          <w:rFonts w:eastAsia="Times New Roman" w:cs="Arial"/>
          <w:lang w:eastAsia="en-AU"/>
        </w:rPr>
        <w:t>Further:</w:t>
      </w:r>
    </w:p>
    <w:p w:rsidR="00EB071B" w:rsidRDefault="00EB071B" w:rsidP="00EB071B">
      <w:pPr>
        <w:pStyle w:val="ListParagraph"/>
        <w:shd w:val="clear" w:color="auto" w:fill="FFFFFF"/>
        <w:spacing w:after="0" w:line="240" w:lineRule="auto"/>
        <w:ind w:left="0"/>
        <w:rPr>
          <w:rFonts w:eastAsia="Times New Roman" w:cs="Arial"/>
          <w:lang w:eastAsia="en-AU"/>
        </w:rPr>
      </w:pPr>
    </w:p>
    <w:p w:rsidR="00EB071B" w:rsidRDefault="00CF3875" w:rsidP="00597222">
      <w:pPr>
        <w:pStyle w:val="ListParagraph"/>
        <w:numPr>
          <w:ilvl w:val="0"/>
          <w:numId w:val="24"/>
        </w:numPr>
        <w:shd w:val="clear" w:color="auto" w:fill="FFFFFF"/>
        <w:spacing w:after="0" w:line="240" w:lineRule="auto"/>
        <w:rPr>
          <w:rFonts w:eastAsia="Times New Roman" w:cs="Arial"/>
          <w:lang w:eastAsia="en-AU"/>
        </w:rPr>
      </w:pPr>
      <w:r w:rsidRPr="00EB071B">
        <w:rPr>
          <w:rFonts w:eastAsia="Times New Roman" w:cs="Arial"/>
          <w:lang w:eastAsia="en-AU"/>
        </w:rPr>
        <w:t xml:space="preserve">Any matter being investigated by the CCC will be a substantial amount of time away from committal, let alone trial, by which time the “fade </w:t>
      </w:r>
      <w:r w:rsidR="00EB071B">
        <w:rPr>
          <w:rFonts w:eastAsia="Times New Roman" w:cs="Arial"/>
          <w:lang w:eastAsia="en-AU"/>
        </w:rPr>
        <w:t xml:space="preserve">factor” will have taken effect.  We cite </w:t>
      </w:r>
      <w:r w:rsidR="00EB071B" w:rsidRPr="00EB071B">
        <w:rPr>
          <w:rFonts w:eastAsia="Times New Roman" w:cs="Arial"/>
          <w:i/>
          <w:lang w:eastAsia="en-AU"/>
        </w:rPr>
        <w:t>R v McNeill</w:t>
      </w:r>
      <w:r w:rsidR="00EB071B">
        <w:rPr>
          <w:rFonts w:eastAsia="Times New Roman" w:cs="Arial"/>
          <w:lang w:eastAsia="en-AU"/>
        </w:rPr>
        <w:t xml:space="preserve"> [2015] NSWSC 357</w:t>
      </w:r>
      <w:r w:rsidR="00EB071B">
        <w:rPr>
          <w:rStyle w:val="FootnoteReference"/>
          <w:rFonts w:eastAsia="Times New Roman" w:cs="Arial"/>
          <w:lang w:eastAsia="en-AU"/>
        </w:rPr>
        <w:footnoteReference w:id="9"/>
      </w:r>
      <w:r w:rsidRPr="00EB071B">
        <w:rPr>
          <w:rFonts w:eastAsia="Times New Roman" w:cs="Arial"/>
          <w:lang w:eastAsia="en-AU"/>
        </w:rPr>
        <w:t xml:space="preserve"> </w:t>
      </w:r>
      <w:r w:rsidRPr="000D0E0E">
        <w:rPr>
          <w:rFonts w:cs="Arial"/>
          <w:bCs/>
          <w:iCs/>
          <w:color w:val="000000"/>
        </w:rPr>
        <w:t xml:space="preserve">per </w:t>
      </w:r>
      <w:r w:rsidRPr="000D0E0E">
        <w:rPr>
          <w:rFonts w:cs="Arial"/>
          <w:color w:val="000000"/>
        </w:rPr>
        <w:t>Johnson J at [66]-[77]</w:t>
      </w:r>
      <w:r w:rsidR="00EB071B">
        <w:rPr>
          <w:rFonts w:cs="Arial"/>
          <w:color w:val="000000"/>
        </w:rPr>
        <w:t xml:space="preserve">; </w:t>
      </w:r>
      <w:r w:rsidRPr="000D0E0E">
        <w:rPr>
          <w:rFonts w:cs="Arial"/>
          <w:color w:val="000000"/>
        </w:rPr>
        <w:t xml:space="preserve"> and</w:t>
      </w:r>
      <w:r w:rsidR="00EB071B">
        <w:rPr>
          <w:rFonts w:cs="Arial"/>
          <w:color w:val="000000"/>
        </w:rPr>
        <w:t xml:space="preserve"> </w:t>
      </w:r>
      <w:r w:rsidR="00EB071B" w:rsidRPr="00EB071B">
        <w:rPr>
          <w:rFonts w:cs="Arial"/>
          <w:i/>
          <w:color w:val="000000"/>
        </w:rPr>
        <w:t>Obeid v The Queen [No 2]</w:t>
      </w:r>
      <w:r w:rsidR="00EB071B">
        <w:rPr>
          <w:rFonts w:cs="Arial"/>
          <w:color w:val="000000"/>
        </w:rPr>
        <w:t xml:space="preserve"> [2016 HCA 10]</w:t>
      </w:r>
      <w:r w:rsidR="00EB071B">
        <w:rPr>
          <w:rStyle w:val="FootnoteReference"/>
          <w:rFonts w:cs="Arial"/>
          <w:color w:val="000000"/>
        </w:rPr>
        <w:footnoteReference w:id="10"/>
      </w:r>
      <w:r w:rsidR="00EB071B">
        <w:rPr>
          <w:rFonts w:cs="Arial"/>
          <w:bCs/>
          <w:shd w:val="clear" w:color="auto" w:fill="FFFFFF"/>
        </w:rPr>
        <w:t>at [17];</w:t>
      </w:r>
    </w:p>
    <w:p w:rsidR="00EB071B" w:rsidRDefault="00EB071B" w:rsidP="00EB071B">
      <w:pPr>
        <w:pStyle w:val="ListParagraph"/>
        <w:shd w:val="clear" w:color="auto" w:fill="FFFFFF"/>
        <w:spacing w:after="0" w:line="240" w:lineRule="auto"/>
        <w:ind w:left="0"/>
        <w:rPr>
          <w:rFonts w:eastAsia="Times New Roman" w:cs="Arial"/>
          <w:lang w:eastAsia="en-AU"/>
        </w:rPr>
      </w:pPr>
    </w:p>
    <w:p w:rsidR="00597222" w:rsidRPr="00597222" w:rsidRDefault="00EB071B" w:rsidP="00597222">
      <w:pPr>
        <w:pStyle w:val="ListParagraph"/>
        <w:numPr>
          <w:ilvl w:val="0"/>
          <w:numId w:val="24"/>
        </w:numPr>
        <w:shd w:val="clear" w:color="auto" w:fill="FFFFFF"/>
        <w:spacing w:after="0" w:line="240" w:lineRule="auto"/>
        <w:rPr>
          <w:rFonts w:cs="Arial"/>
        </w:rPr>
      </w:pPr>
      <w:r w:rsidRPr="00EB071B">
        <w:rPr>
          <w:rFonts w:eastAsia="Times New Roman" w:cs="Arial"/>
          <w:lang w:eastAsia="en-AU"/>
        </w:rPr>
        <w:t>I</w:t>
      </w:r>
      <w:r w:rsidR="00CF3875" w:rsidRPr="00EB071B">
        <w:rPr>
          <w:rFonts w:eastAsia="Times New Roman" w:cs="Arial"/>
          <w:lang w:eastAsia="en-AU"/>
        </w:rPr>
        <w:t xml:space="preserve">t is </w:t>
      </w:r>
      <w:r>
        <w:rPr>
          <w:rFonts w:eastAsia="Times New Roman" w:cs="Arial"/>
          <w:lang w:eastAsia="en-AU"/>
        </w:rPr>
        <w:t xml:space="preserve">also </w:t>
      </w:r>
      <w:r w:rsidR="00CF3875" w:rsidRPr="00EB071B">
        <w:rPr>
          <w:rFonts w:eastAsia="Times New Roman" w:cs="Arial"/>
          <w:lang w:eastAsia="en-AU"/>
        </w:rPr>
        <w:t xml:space="preserve">well established that a fair trial can be had even in the face of extensive pre-trial publicity:  </w:t>
      </w:r>
    </w:p>
    <w:p w:rsidR="00597222" w:rsidRPr="00597222" w:rsidRDefault="00597222" w:rsidP="00597222">
      <w:pPr>
        <w:pStyle w:val="ListParagraph"/>
        <w:rPr>
          <w:rFonts w:cs="Arial"/>
          <w:i/>
          <w:iCs/>
        </w:rPr>
      </w:pPr>
    </w:p>
    <w:p w:rsidR="00597222" w:rsidRDefault="00CF3875" w:rsidP="00597222">
      <w:pPr>
        <w:pStyle w:val="ListParagraph"/>
        <w:numPr>
          <w:ilvl w:val="0"/>
          <w:numId w:val="22"/>
        </w:numPr>
        <w:shd w:val="clear" w:color="auto" w:fill="FFFFFF"/>
        <w:spacing w:after="0" w:line="240" w:lineRule="auto"/>
        <w:rPr>
          <w:rFonts w:cs="Arial"/>
        </w:rPr>
      </w:pPr>
      <w:r w:rsidRPr="000D0E0E">
        <w:rPr>
          <w:rFonts w:cs="Arial"/>
          <w:i/>
          <w:iCs/>
        </w:rPr>
        <w:t xml:space="preserve">R v Ferguson; ex parte A-G (Qld) </w:t>
      </w:r>
      <w:r w:rsidRPr="000D0E0E">
        <w:rPr>
          <w:rFonts w:cs="Arial"/>
        </w:rPr>
        <w:t>[2008] QCA 227</w:t>
      </w:r>
      <w:r w:rsidR="00EB071B">
        <w:rPr>
          <w:rStyle w:val="FootnoteReference"/>
          <w:rFonts w:cs="Arial"/>
        </w:rPr>
        <w:footnoteReference w:id="11"/>
      </w:r>
      <w:r w:rsidR="00597222">
        <w:rPr>
          <w:rFonts w:cs="Arial"/>
        </w:rPr>
        <w:t xml:space="preserve">, </w:t>
      </w:r>
      <w:r w:rsidRPr="000D0E0E">
        <w:rPr>
          <w:rFonts w:cs="Arial"/>
        </w:rPr>
        <w:t>particularly at [43] – [44</w:t>
      </w:r>
      <w:r w:rsidR="00597222">
        <w:rPr>
          <w:rFonts w:cs="Arial"/>
        </w:rPr>
        <w:t>]:</w:t>
      </w:r>
      <w:r w:rsidRPr="000D0E0E">
        <w:rPr>
          <w:rFonts w:cs="Arial"/>
        </w:rPr>
        <w:t xml:space="preserve"> </w:t>
      </w:r>
    </w:p>
    <w:p w:rsidR="00597222" w:rsidRPr="00597222" w:rsidRDefault="00597222" w:rsidP="00597222">
      <w:pPr>
        <w:pStyle w:val="ListParagraph"/>
        <w:rPr>
          <w:rFonts w:cs="Arial"/>
        </w:rPr>
      </w:pPr>
    </w:p>
    <w:p w:rsidR="00597222" w:rsidRPr="00597222" w:rsidRDefault="00597222" w:rsidP="00597222">
      <w:pPr>
        <w:pStyle w:val="ListParagraph"/>
        <w:shd w:val="clear" w:color="auto" w:fill="FFFFFF"/>
        <w:spacing w:after="0" w:line="240" w:lineRule="auto"/>
        <w:ind w:left="1440"/>
        <w:rPr>
          <w:i/>
        </w:rPr>
      </w:pPr>
      <w:r>
        <w:rPr>
          <w:i/>
        </w:rPr>
        <w:t>‘</w:t>
      </w:r>
      <w:r w:rsidRPr="00597222">
        <w:rPr>
          <w:i/>
        </w:rPr>
        <w:t>Jury deliberations take place in an environment peculiarly conducive to the unbiased assessment of evidence with a view to determining guilt or innocence. An empanelled juror does not commence his or her role as a person undertaking a novel or foreign role. Jurors are aware consciously or subconsciously of the long tradition in this country of criminal trials in which 12 impartial men and women are the deciders of fact, of the unquestioned integrity of the process and its importance to society's fabric. The solemnity and social significance of the jurors' role is reinforced by the formality of the trial and the court room setting. As we have noted, jurors are sworn or make an affirmation to give a true verdict according to the evidence. The trial judge's opening remarks are calculated to reinforce instructions already received by the jury panel.</w:t>
      </w:r>
    </w:p>
    <w:p w:rsidR="00597222" w:rsidRPr="00597222" w:rsidRDefault="00597222" w:rsidP="00597222">
      <w:pPr>
        <w:pStyle w:val="ListParagraph"/>
        <w:shd w:val="clear" w:color="auto" w:fill="FFFFFF"/>
        <w:spacing w:after="0" w:line="240" w:lineRule="auto"/>
        <w:ind w:left="1440"/>
        <w:rPr>
          <w:i/>
        </w:rPr>
      </w:pPr>
    </w:p>
    <w:p w:rsidR="00597222" w:rsidRPr="00597222" w:rsidRDefault="00597222" w:rsidP="00597222">
      <w:pPr>
        <w:pStyle w:val="ListParagraph"/>
        <w:shd w:val="clear" w:color="auto" w:fill="FFFFFF"/>
        <w:spacing w:after="0" w:line="240" w:lineRule="auto"/>
        <w:ind w:left="1440"/>
        <w:rPr>
          <w:rFonts w:cs="Arial"/>
          <w:i/>
        </w:rPr>
      </w:pPr>
      <w:r w:rsidRPr="00597222">
        <w:rPr>
          <w:i/>
        </w:rPr>
        <w:t>And, of course, the trial judge's instructions should be fashioned in light of the circumstances of the case with a view to assisting the jury to give a verdict uninfluenced by any irrelevant or improper considerations. Where there has been extensive pre-trial publicity, it is customary for the trial judge to explain the obvious points of distinction between media reports and the evidence presented in criminal cases. Here, the perceived problem lies not so much with any alleged inaccuracy in reporting (although there may well have been some) but more with the revelation of prior convictions, the details of those convictions, the respondent's alleged potential to re-offend and the general opprobrium heaped on the respondent because of his convictions.</w:t>
      </w:r>
      <w:r>
        <w:rPr>
          <w:i/>
        </w:rPr>
        <w:t>’</w:t>
      </w:r>
    </w:p>
    <w:p w:rsidR="00597222" w:rsidRDefault="00597222" w:rsidP="00597222">
      <w:pPr>
        <w:pStyle w:val="ListParagraph"/>
        <w:shd w:val="clear" w:color="auto" w:fill="FFFFFF"/>
        <w:spacing w:after="0" w:line="240" w:lineRule="auto"/>
        <w:ind w:left="0"/>
        <w:rPr>
          <w:rFonts w:cs="Arial"/>
        </w:rPr>
      </w:pPr>
    </w:p>
    <w:p w:rsidR="00597222" w:rsidRDefault="00597222" w:rsidP="00597222">
      <w:pPr>
        <w:pStyle w:val="ListParagraph"/>
        <w:numPr>
          <w:ilvl w:val="0"/>
          <w:numId w:val="22"/>
        </w:numPr>
        <w:shd w:val="clear" w:color="auto" w:fill="FFFFFF"/>
        <w:spacing w:after="0" w:line="240" w:lineRule="auto"/>
        <w:rPr>
          <w:rFonts w:eastAsia="Times New Roman" w:cs="Arial"/>
          <w:lang w:eastAsia="en-AU"/>
        </w:rPr>
      </w:pPr>
      <w:r>
        <w:rPr>
          <w:rFonts w:cs="Arial"/>
        </w:rPr>
        <w:t>A</w:t>
      </w:r>
      <w:r w:rsidR="00CF3875" w:rsidRPr="000D0E0E">
        <w:rPr>
          <w:rFonts w:cs="Arial"/>
        </w:rPr>
        <w:t xml:space="preserve">nd more recently </w:t>
      </w:r>
      <w:r w:rsidR="00EB071B" w:rsidRPr="00597222">
        <w:rPr>
          <w:rFonts w:cs="Arial"/>
          <w:i/>
        </w:rPr>
        <w:t>Hughes v R</w:t>
      </w:r>
      <w:r w:rsidR="00EB071B">
        <w:rPr>
          <w:rFonts w:cs="Arial"/>
        </w:rPr>
        <w:t xml:space="preserve"> [2015] NSWCCA 330</w:t>
      </w:r>
      <w:r w:rsidR="00EB071B">
        <w:rPr>
          <w:rStyle w:val="FootnoteReference"/>
          <w:rFonts w:cs="Arial"/>
        </w:rPr>
        <w:footnoteReference w:id="12"/>
      </w:r>
      <w:r w:rsidR="00AB7AC1">
        <w:rPr>
          <w:rFonts w:cs="Arial"/>
        </w:rPr>
        <w:t xml:space="preserve"> </w:t>
      </w:r>
      <w:r w:rsidR="00295D46">
        <w:rPr>
          <w:rFonts w:cs="Arial"/>
        </w:rPr>
        <w:t xml:space="preserve">and in the Judgement Summary of that case.  We highlight here that </w:t>
      </w:r>
      <w:r w:rsidR="00295D46" w:rsidRPr="00295D46">
        <w:rPr>
          <w:rFonts w:cs="Arial"/>
          <w:i/>
        </w:rPr>
        <w:t>Hughes v R</w:t>
      </w:r>
      <w:r w:rsidR="00295D46">
        <w:rPr>
          <w:rFonts w:cs="Arial"/>
        </w:rPr>
        <w:t xml:space="preserve"> is particularly relevant</w:t>
      </w:r>
      <w:r w:rsidR="00CF3875" w:rsidRPr="000D0E0E">
        <w:rPr>
          <w:rFonts w:cs="Arial"/>
        </w:rPr>
        <w:t xml:space="preserve"> in Queensland where it is an offence for a juror to conduct independent inquiries about the accused</w:t>
      </w:r>
      <w:r>
        <w:rPr>
          <w:rStyle w:val="FootnoteReference"/>
          <w:rFonts w:cs="Arial"/>
        </w:rPr>
        <w:footnoteReference w:id="13"/>
      </w:r>
      <w:r>
        <w:rPr>
          <w:rFonts w:cs="Arial"/>
        </w:rPr>
        <w:t>.</w:t>
      </w:r>
    </w:p>
    <w:p w:rsidR="00597222" w:rsidRDefault="00597222" w:rsidP="00597222">
      <w:pPr>
        <w:pStyle w:val="ListParagraph"/>
        <w:shd w:val="clear" w:color="auto" w:fill="FFFFFF"/>
        <w:spacing w:after="0" w:line="240" w:lineRule="auto"/>
        <w:ind w:left="0"/>
        <w:rPr>
          <w:rFonts w:eastAsia="Times New Roman" w:cs="Arial"/>
          <w:lang w:eastAsia="en-AU"/>
        </w:rPr>
      </w:pPr>
    </w:p>
    <w:p w:rsidR="00CF3875" w:rsidRPr="00597222" w:rsidRDefault="00CF3875" w:rsidP="00597222">
      <w:pPr>
        <w:pStyle w:val="ListParagraph"/>
        <w:shd w:val="clear" w:color="auto" w:fill="FFFFFF"/>
        <w:spacing w:after="0" w:line="240" w:lineRule="auto"/>
        <w:ind w:left="0"/>
        <w:rPr>
          <w:rFonts w:eastAsia="Times New Roman" w:cs="Arial"/>
          <w:lang w:eastAsia="en-AU"/>
        </w:rPr>
      </w:pPr>
      <w:r w:rsidRPr="00597222">
        <w:rPr>
          <w:rFonts w:eastAsia="Times New Roman" w:cs="Arial"/>
          <w:lang w:eastAsia="en-AU"/>
        </w:rPr>
        <w:t xml:space="preserve">A more balanced and proportionate method of dealing with this concern would be to </w:t>
      </w:r>
      <w:r w:rsidRPr="00712BBF">
        <w:rPr>
          <w:rFonts w:eastAsia="Times New Roman" w:cs="Arial"/>
          <w:u w:val="single"/>
          <w:lang w:eastAsia="en-AU"/>
        </w:rPr>
        <w:t>open proceedings</w:t>
      </w:r>
      <w:r w:rsidRPr="00597222">
        <w:rPr>
          <w:rFonts w:eastAsia="Times New Roman" w:cs="Arial"/>
          <w:lang w:eastAsia="en-AU"/>
        </w:rPr>
        <w:t xml:space="preserve"> but allow a suppression order making power in circumstances where it can be shown the order is necessary because the public interest in the right to a fair trial outweighs disclosure.</w:t>
      </w:r>
    </w:p>
    <w:p w:rsidR="00597222" w:rsidRDefault="00597222" w:rsidP="001F6EF0">
      <w:pPr>
        <w:pStyle w:val="Default"/>
        <w:rPr>
          <w:color w:val="auto"/>
          <w:sz w:val="22"/>
        </w:rPr>
      </w:pPr>
    </w:p>
    <w:p w:rsidR="00175656" w:rsidRPr="00175656" w:rsidRDefault="00166E49" w:rsidP="001F6EF0">
      <w:pPr>
        <w:pStyle w:val="Default"/>
        <w:rPr>
          <w:b/>
          <w:color w:val="auto"/>
          <w:sz w:val="22"/>
        </w:rPr>
      </w:pPr>
      <w:r w:rsidRPr="00175656">
        <w:rPr>
          <w:b/>
          <w:color w:val="auto"/>
          <w:sz w:val="22"/>
        </w:rPr>
        <w:t>EFFECTIVENESS OF THE CCC</w:t>
      </w:r>
    </w:p>
    <w:p w:rsidR="00C31E20" w:rsidRDefault="00C31E20" w:rsidP="00712BBF">
      <w:pPr>
        <w:pStyle w:val="ListParagraph"/>
        <w:spacing w:after="0" w:line="240" w:lineRule="auto"/>
        <w:ind w:left="0"/>
      </w:pPr>
    </w:p>
    <w:p w:rsidR="00C31E20" w:rsidRDefault="00C31E20" w:rsidP="00712BBF">
      <w:pPr>
        <w:pStyle w:val="ListParagraph"/>
        <w:spacing w:after="0" w:line="240" w:lineRule="auto"/>
        <w:ind w:left="0"/>
      </w:pPr>
      <w:r>
        <w:t xml:space="preserve">We take the responsibilities associated with public interest reporting seriously.  As such we have responsibilities to investigate and report an </w:t>
      </w:r>
      <w:r w:rsidR="00CF3875" w:rsidRPr="000D0E0E">
        <w:t>allegation of</w:t>
      </w:r>
      <w:r>
        <w:t xml:space="preserve"> corruption in the event that we become</w:t>
      </w:r>
      <w:r w:rsidR="00CF3875" w:rsidRPr="000D0E0E">
        <w:t xml:space="preserve"> aware </w:t>
      </w:r>
      <w:r>
        <w:t xml:space="preserve">that </w:t>
      </w:r>
      <w:r w:rsidR="00CF3875" w:rsidRPr="000D0E0E">
        <w:t xml:space="preserve">such an allegation has been made.  </w:t>
      </w:r>
      <w:r>
        <w:t xml:space="preserve">The Queensland and Australian public has a right to know of alleged corruption </w:t>
      </w:r>
      <w:r w:rsidR="00970474">
        <w:t>o</w:t>
      </w:r>
      <w:r>
        <w:t>f public officials.  We cannot express this more clearly.</w:t>
      </w:r>
      <w:r w:rsidR="00911141">
        <w:t xml:space="preserve">  It is the expectation of the tax paying public that complaints processes are robust and not impacted by external forces, even in the digital age. </w:t>
      </w:r>
    </w:p>
    <w:p w:rsidR="00C31E20" w:rsidRDefault="00C31E20" w:rsidP="00712BBF">
      <w:pPr>
        <w:pStyle w:val="ListParagraph"/>
        <w:spacing w:after="0" w:line="240" w:lineRule="auto"/>
        <w:ind w:left="0"/>
      </w:pPr>
    </w:p>
    <w:p w:rsidR="00712BBF" w:rsidRDefault="00C31E20" w:rsidP="00712BBF">
      <w:pPr>
        <w:pStyle w:val="ListParagraph"/>
        <w:spacing w:after="0" w:line="240" w:lineRule="auto"/>
        <w:ind w:left="0"/>
      </w:pPr>
      <w:r>
        <w:t xml:space="preserve">Further, publication of an allegation may – or may not – be the trigger by which persons involved may seek to undertake additional potentially illegal activities such as destroying evidence, developing or disseminating fabrications.  </w:t>
      </w:r>
      <w:r w:rsidR="00CF3875" w:rsidRPr="000D0E0E">
        <w:t>A concern of this nature is better addressed by making the current offence of o</w:t>
      </w:r>
      <w:r w:rsidR="00712BBF">
        <w:t>bstructing the CCC more robust</w:t>
      </w:r>
      <w:r w:rsidR="00712BBF">
        <w:rPr>
          <w:rStyle w:val="FootnoteReference"/>
        </w:rPr>
        <w:footnoteReference w:id="14"/>
      </w:r>
      <w:r w:rsidR="00712BBF">
        <w:t xml:space="preserve">, for example </w:t>
      </w:r>
      <w:r w:rsidR="00CF3875" w:rsidRPr="000D0E0E">
        <w:t>by increasing the penalty applicable</w:t>
      </w:r>
      <w:r w:rsidR="00911141">
        <w:t xml:space="preserve"> – rather than prohibiting publication of the allegations.</w:t>
      </w:r>
    </w:p>
    <w:p w:rsidR="00712BBF" w:rsidRDefault="00712BBF" w:rsidP="00712BBF">
      <w:pPr>
        <w:pStyle w:val="ListParagraph"/>
        <w:spacing w:after="0" w:line="240" w:lineRule="auto"/>
        <w:ind w:left="0"/>
      </w:pPr>
    </w:p>
    <w:p w:rsidR="00CF3875" w:rsidRDefault="00911141" w:rsidP="00712BBF">
      <w:pPr>
        <w:pStyle w:val="ListParagraph"/>
        <w:spacing w:after="0" w:line="240" w:lineRule="auto"/>
        <w:ind w:left="0"/>
      </w:pPr>
      <w:r>
        <w:t>Lastly, w</w:t>
      </w:r>
      <w:r w:rsidR="00CF3875" w:rsidRPr="000D0E0E">
        <w:t xml:space="preserve">ith </w:t>
      </w:r>
      <w:r>
        <w:t xml:space="preserve">specific </w:t>
      </w:r>
      <w:r w:rsidR="00CF3875" w:rsidRPr="000D0E0E">
        <w:t xml:space="preserve">respect to the concern that publicity artificially elevates the credibility of the complaint, conversely publicity can also permit the subject of the complaint to defend their reputation.  Publicity also </w:t>
      </w:r>
      <w:r w:rsidR="00C31E20">
        <w:t>provides</w:t>
      </w:r>
      <w:r w:rsidR="00CF3875" w:rsidRPr="000D0E0E">
        <w:t xml:space="preserve"> </w:t>
      </w:r>
      <w:r w:rsidR="00C31E20">
        <w:t>an</w:t>
      </w:r>
      <w:r w:rsidR="00CF3875" w:rsidRPr="000D0E0E">
        <w:t xml:space="preserve"> opportunity</w:t>
      </w:r>
      <w:r w:rsidR="00C31E20">
        <w:t xml:space="preserve"> to</w:t>
      </w:r>
      <w:r w:rsidR="00CF3875" w:rsidRPr="000D0E0E">
        <w:t xml:space="preserve"> anyone who has information pertinent to an investigatio</w:t>
      </w:r>
      <w:r w:rsidR="00C31E20">
        <w:t xml:space="preserve">n to come forward and share it – </w:t>
      </w:r>
      <w:r w:rsidR="00CF3875" w:rsidRPr="000D0E0E">
        <w:t>even those the CCC may not have previously been</w:t>
      </w:r>
      <w:r w:rsidR="00CF3875">
        <w:t xml:space="preserve"> aware of.</w:t>
      </w:r>
    </w:p>
    <w:p w:rsidR="00CF3875" w:rsidRDefault="00CF3875" w:rsidP="001F6EF0">
      <w:pPr>
        <w:pStyle w:val="Default"/>
        <w:rPr>
          <w:color w:val="auto"/>
          <w:sz w:val="22"/>
        </w:rPr>
      </w:pPr>
    </w:p>
    <w:p w:rsidR="006467DC" w:rsidRDefault="006467DC" w:rsidP="001F6EF0">
      <w:pPr>
        <w:pStyle w:val="Default"/>
        <w:rPr>
          <w:color w:val="auto"/>
          <w:sz w:val="22"/>
        </w:rPr>
      </w:pPr>
    </w:p>
    <w:p w:rsidR="00175656" w:rsidRPr="00F423B6" w:rsidRDefault="00F423B6" w:rsidP="001F6EF0">
      <w:pPr>
        <w:pStyle w:val="Default"/>
        <w:rPr>
          <w:b/>
          <w:color w:val="0070C0"/>
        </w:rPr>
      </w:pPr>
      <w:r w:rsidRPr="00F423B6">
        <w:rPr>
          <w:b/>
          <w:color w:val="0070C0"/>
        </w:rPr>
        <w:t>SECTION B</w:t>
      </w:r>
    </w:p>
    <w:p w:rsidR="00F423B6" w:rsidRDefault="00F423B6" w:rsidP="001F6EF0">
      <w:pPr>
        <w:pStyle w:val="Default"/>
        <w:rPr>
          <w:color w:val="auto"/>
          <w:sz w:val="22"/>
        </w:rPr>
      </w:pPr>
    </w:p>
    <w:p w:rsidR="00F423B6" w:rsidRPr="00F423B6" w:rsidRDefault="00F423B6" w:rsidP="00F423B6">
      <w:pPr>
        <w:rPr>
          <w:rFonts w:cs="Arial"/>
          <w:color w:val="000000"/>
        </w:rPr>
      </w:pPr>
      <w:r>
        <w:rPr>
          <w:rFonts w:cs="Arial"/>
          <w:color w:val="000000"/>
        </w:rPr>
        <w:t>This section deals with elements for consideration that the media organisations believe vital to considering this matter fully.  We note that these elements are excluded from the Discussion Paper</w:t>
      </w:r>
      <w:r w:rsidR="00CA7B48">
        <w:rPr>
          <w:rFonts w:cs="Arial"/>
          <w:color w:val="000000"/>
        </w:rPr>
        <w:t>.</w:t>
      </w:r>
    </w:p>
    <w:p w:rsidR="00F423B6" w:rsidRDefault="00F423B6" w:rsidP="00F423B6">
      <w:pPr>
        <w:rPr>
          <w:rFonts w:cs="Arial"/>
          <w:color w:val="000000"/>
          <w:u w:val="single"/>
        </w:rPr>
      </w:pPr>
    </w:p>
    <w:p w:rsidR="0037140B" w:rsidRDefault="0037140B" w:rsidP="00F423B6">
      <w:pPr>
        <w:rPr>
          <w:rFonts w:cs="Arial"/>
          <w:b/>
          <w:color w:val="000000"/>
        </w:rPr>
      </w:pPr>
    </w:p>
    <w:p w:rsidR="002B49BB" w:rsidRDefault="002B49BB" w:rsidP="00F423B6">
      <w:pPr>
        <w:rPr>
          <w:rFonts w:cs="Arial"/>
          <w:b/>
          <w:color w:val="000000"/>
        </w:rPr>
      </w:pPr>
    </w:p>
    <w:p w:rsidR="00F423B6" w:rsidRDefault="00F423B6" w:rsidP="00F423B6">
      <w:pPr>
        <w:rPr>
          <w:rFonts w:cs="Arial"/>
          <w:b/>
          <w:color w:val="000000"/>
        </w:rPr>
      </w:pPr>
      <w:r w:rsidRPr="00F423B6">
        <w:rPr>
          <w:rFonts w:cs="Arial"/>
          <w:b/>
          <w:color w:val="000000"/>
        </w:rPr>
        <w:t>LACK OF EVIDENCE TO SUPPORT GAGGING PUBLICATION OF CORRUPT CONDUCT ALLEGATIONS</w:t>
      </w:r>
    </w:p>
    <w:p w:rsidR="00F423B6" w:rsidRDefault="00F423B6" w:rsidP="00F423B6">
      <w:pPr>
        <w:rPr>
          <w:rFonts w:cs="Arial"/>
          <w:b/>
          <w:color w:val="000000"/>
        </w:rPr>
      </w:pPr>
    </w:p>
    <w:p w:rsidR="00CA7B48" w:rsidRPr="008374BD" w:rsidRDefault="004A3AF7" w:rsidP="00F423B6">
      <w:pPr>
        <w:rPr>
          <w:u w:val="single"/>
        </w:rPr>
      </w:pPr>
      <w:r w:rsidRPr="008374BD">
        <w:rPr>
          <w:u w:val="single"/>
        </w:rPr>
        <w:t>The</w:t>
      </w:r>
      <w:r w:rsidR="00CA7B48" w:rsidRPr="008374BD">
        <w:rPr>
          <w:u w:val="single"/>
        </w:rPr>
        <w:t xml:space="preserve"> CCC </w:t>
      </w:r>
      <w:r w:rsidRPr="008374BD">
        <w:rPr>
          <w:u w:val="single"/>
        </w:rPr>
        <w:t xml:space="preserve">provides no evidence </w:t>
      </w:r>
      <w:r w:rsidR="00CA7B48" w:rsidRPr="008374BD">
        <w:rPr>
          <w:u w:val="single"/>
        </w:rPr>
        <w:t>to justify why allegations of corrupt conduct of public officials should be gagged</w:t>
      </w:r>
      <w:r w:rsidR="002665F9" w:rsidRPr="008374BD">
        <w:rPr>
          <w:u w:val="single"/>
        </w:rPr>
        <w:t xml:space="preserve"> and/or why gagging is in the public interest</w:t>
      </w:r>
    </w:p>
    <w:p w:rsidR="0037140B" w:rsidRDefault="0037140B" w:rsidP="002665F9"/>
    <w:p w:rsidR="002665F9" w:rsidRDefault="00627B9B" w:rsidP="00F423B6">
      <w:r>
        <w:t xml:space="preserve">The Discussion Paper does not include </w:t>
      </w:r>
      <w:r w:rsidR="006467DC">
        <w:t>any evidence or details</w:t>
      </w:r>
      <w:r w:rsidR="00553D87">
        <w:t xml:space="preserve"> of the ‘problem’ that the CCC is attempting to ‘fix’ by legislation and/or other measures to prevent allegations of corruption regarding public officials being made public.</w:t>
      </w:r>
    </w:p>
    <w:p w:rsidR="00553D87" w:rsidRDefault="00553D87" w:rsidP="00F423B6"/>
    <w:p w:rsidR="00553D87" w:rsidRDefault="00553D87" w:rsidP="00F423B6">
      <w:r>
        <w:t>Sound public policy making demands that the first step is to identify and evidence the ‘problem’ to be solved. The Disc</w:t>
      </w:r>
      <w:r w:rsidR="008D104D">
        <w:t xml:space="preserve">ussion Paper does not do this.  </w:t>
      </w:r>
    </w:p>
    <w:p w:rsidR="00553D87" w:rsidRDefault="00553D87" w:rsidP="00F423B6"/>
    <w:p w:rsidR="00553D87" w:rsidRDefault="00553D87" w:rsidP="00F423B6">
      <w:r>
        <w:t xml:space="preserve">Further, the Discussion Paper does not quantify the claimed issue.  This makes </w:t>
      </w:r>
      <w:r w:rsidR="00970474">
        <w:t xml:space="preserve">it </w:t>
      </w:r>
      <w:r>
        <w:t xml:space="preserve">problematic to assess the proportionality of a proposed ‘fix’ for the ‘problem’.  </w:t>
      </w:r>
    </w:p>
    <w:p w:rsidR="00553D87" w:rsidRDefault="00553D87" w:rsidP="00F423B6"/>
    <w:p w:rsidR="00553D87" w:rsidRPr="001251B2" w:rsidRDefault="00553D87" w:rsidP="00F423B6">
      <w:r>
        <w:t>We believe that this is a fundamental issue with the Discussion Paper, and on that basis alone we do not support any proposals to amend the existing framework – and certainly do not support any attempts to gag publication of corruption allegations regarding Queensland public officials.</w:t>
      </w:r>
    </w:p>
    <w:p w:rsidR="001251B2" w:rsidRDefault="001251B2" w:rsidP="00F423B6">
      <w:pPr>
        <w:rPr>
          <w:b/>
        </w:rPr>
      </w:pPr>
    </w:p>
    <w:p w:rsidR="00F423B6" w:rsidRPr="008374BD" w:rsidRDefault="0037140B" w:rsidP="00F423B6">
      <w:pPr>
        <w:rPr>
          <w:u w:val="single"/>
        </w:rPr>
      </w:pPr>
      <w:r w:rsidRPr="008374BD">
        <w:rPr>
          <w:u w:val="single"/>
        </w:rPr>
        <w:t>In</w:t>
      </w:r>
      <w:r w:rsidR="002665F9" w:rsidRPr="008374BD">
        <w:rPr>
          <w:u w:val="single"/>
        </w:rPr>
        <w:t xml:space="preserve"> fact, </w:t>
      </w:r>
      <w:r w:rsidR="00F423B6" w:rsidRPr="008374BD">
        <w:rPr>
          <w:u w:val="single"/>
        </w:rPr>
        <w:t xml:space="preserve">Parliamentary scrutiny has consistently supported </w:t>
      </w:r>
      <w:r w:rsidR="002665F9" w:rsidRPr="008374BD">
        <w:rPr>
          <w:u w:val="single"/>
        </w:rPr>
        <w:t xml:space="preserve">transparency and </w:t>
      </w:r>
      <w:r w:rsidR="00F423B6" w:rsidRPr="008374BD">
        <w:rPr>
          <w:u w:val="single"/>
        </w:rPr>
        <w:t>public scrutiny</w:t>
      </w:r>
    </w:p>
    <w:p w:rsidR="00F423B6" w:rsidRDefault="00F423B6" w:rsidP="00F423B6">
      <w:pPr>
        <w:rPr>
          <w:u w:val="single"/>
        </w:rPr>
      </w:pPr>
    </w:p>
    <w:p w:rsidR="00F423B6" w:rsidRDefault="00F423B6" w:rsidP="00F423B6">
      <w:r w:rsidRPr="00573CC4">
        <w:t>Furthermore, the Discussion Paper states that Parliamentary scrutiny of the CCC’s predecessor, the Criminal Justice Commission, decided on multiple occasions that the ongoing requirement for openness and transparency outweighed the need for any legislative amendments</w:t>
      </w:r>
      <w:r>
        <w:rPr>
          <w:rStyle w:val="FootnoteReference"/>
        </w:rPr>
        <w:footnoteReference w:id="15"/>
      </w:r>
      <w:r w:rsidRPr="00573CC4">
        <w:t>.</w:t>
      </w:r>
    </w:p>
    <w:p w:rsidR="00F423B6" w:rsidRDefault="00F423B6" w:rsidP="00F423B6"/>
    <w:p w:rsidR="00166E49" w:rsidRPr="008374BD" w:rsidRDefault="00F423B6" w:rsidP="00F423B6">
      <w:pPr>
        <w:rPr>
          <w:u w:val="single"/>
        </w:rPr>
      </w:pPr>
      <w:r w:rsidRPr="008374BD">
        <w:rPr>
          <w:u w:val="single"/>
        </w:rPr>
        <w:t xml:space="preserve">Callinan and Aroney Review </w:t>
      </w:r>
    </w:p>
    <w:p w:rsidR="00166E49" w:rsidRDefault="00166E49" w:rsidP="00F423B6">
      <w:pPr>
        <w:rPr>
          <w:b/>
        </w:rPr>
      </w:pPr>
    </w:p>
    <w:p w:rsidR="00166E49" w:rsidRDefault="00166E49" w:rsidP="00166E49">
      <w:pPr>
        <w:rPr>
          <w:i/>
        </w:rPr>
      </w:pPr>
      <w:r>
        <w:t xml:space="preserve">In 2013 the Hon Ian Callinan AC and Professor Nicholas Aroney, as the Independent Advisory Panel, undertook and reported on a </w:t>
      </w:r>
      <w:r>
        <w:rPr>
          <w:i/>
        </w:rPr>
        <w:t>Review of the Crime and Misconduct Act 2001 and Related Matters</w:t>
      </w:r>
      <w:r>
        <w:rPr>
          <w:rStyle w:val="FootnoteReference"/>
          <w:i/>
        </w:rPr>
        <w:footnoteReference w:id="16"/>
      </w:r>
      <w:r>
        <w:rPr>
          <w:i/>
        </w:rPr>
        <w:t xml:space="preserve"> </w:t>
      </w:r>
      <w:r>
        <w:t>(the Callinan and Aroney Review)</w:t>
      </w:r>
      <w:r>
        <w:rPr>
          <w:i/>
        </w:rPr>
        <w:t>.</w:t>
      </w:r>
    </w:p>
    <w:p w:rsidR="00166E49" w:rsidRDefault="00166E49" w:rsidP="00F423B6">
      <w:pPr>
        <w:rPr>
          <w:b/>
        </w:rPr>
      </w:pPr>
    </w:p>
    <w:p w:rsidR="00166E49" w:rsidRDefault="00166E49" w:rsidP="00166E49">
      <w:r>
        <w:t>We believe that the following issues must be taken into account when considering the recommendations of the Callinan and Aroney Review.</w:t>
      </w:r>
    </w:p>
    <w:p w:rsidR="00166E49" w:rsidRDefault="00166E49" w:rsidP="00166E49"/>
    <w:p w:rsidR="00F423B6" w:rsidRPr="00166E49" w:rsidRDefault="00166E49" w:rsidP="00166E49">
      <w:r w:rsidRPr="00166E49">
        <w:rPr>
          <w:u w:val="single"/>
        </w:rPr>
        <w:t>A r</w:t>
      </w:r>
      <w:r w:rsidR="00F423B6" w:rsidRPr="00166E49">
        <w:rPr>
          <w:u w:val="single"/>
        </w:rPr>
        <w:t>eport about the CMC, not the CCC</w:t>
      </w:r>
    </w:p>
    <w:p w:rsidR="00166E49" w:rsidRDefault="00166E49" w:rsidP="00166E49">
      <w:pPr>
        <w:rPr>
          <w:i/>
        </w:rPr>
      </w:pPr>
    </w:p>
    <w:p w:rsidR="00166E49" w:rsidRDefault="00166E49" w:rsidP="00166E49">
      <w:r>
        <w:t xml:space="preserve">Callinan and Aroney made 17 recommendations (excluding the 6 parts of recommendation 3) regarding the Crime and Misconduct Commission (CMC).  </w:t>
      </w:r>
    </w:p>
    <w:p w:rsidR="00166E49" w:rsidRDefault="00166E49" w:rsidP="00166E49">
      <w:pPr>
        <w:rPr>
          <w:i/>
        </w:rPr>
      </w:pPr>
    </w:p>
    <w:p w:rsidR="00166E49" w:rsidRDefault="00166E49" w:rsidP="00166E49">
      <w:r>
        <w:t>The Callinan and Aroney Review was highly critical of the CCC’s’ predecessor’, the Crime and Misconduct Commission’s (CMC) engendering of publicity and for setting out to court the media</w:t>
      </w:r>
      <w:r>
        <w:rPr>
          <w:rStyle w:val="FootnoteReference"/>
        </w:rPr>
        <w:footnoteReference w:id="17"/>
      </w:r>
      <w:r>
        <w:t xml:space="preserve">.  </w:t>
      </w:r>
    </w:p>
    <w:p w:rsidR="00166E49" w:rsidRDefault="00166E49" w:rsidP="00166E49"/>
    <w:p w:rsidR="00166E49" w:rsidRPr="00CF3875" w:rsidRDefault="00166E49" w:rsidP="00166E49">
      <w:pPr>
        <w:rPr>
          <w:i/>
        </w:rPr>
      </w:pPr>
      <w:r>
        <w:t xml:space="preserve">Regarding the media, Callinan and Aroney stated: </w:t>
      </w:r>
      <w:r>
        <w:rPr>
          <w:i/>
        </w:rPr>
        <w:t>‘This is no criticism of the media.  They are entitled to proceed critically or otherwise as they wish</w:t>
      </w:r>
      <w:r>
        <w:rPr>
          <w:rStyle w:val="FootnoteReference"/>
          <w:i/>
        </w:rPr>
        <w:footnoteReference w:id="18"/>
      </w:r>
      <w:r>
        <w:rPr>
          <w:i/>
        </w:rPr>
        <w:t>’</w:t>
      </w:r>
      <w:r>
        <w:t xml:space="preserve"> and in particular noted the </w:t>
      </w:r>
      <w:r>
        <w:rPr>
          <w:i/>
        </w:rPr>
        <w:t>‘generally restrained approach to the avalanche of sensitive documents released at the behest of the CMC</w:t>
      </w:r>
      <w:r>
        <w:rPr>
          <w:rStyle w:val="FootnoteReference"/>
          <w:i/>
        </w:rPr>
        <w:footnoteReference w:id="19"/>
      </w:r>
      <w:r>
        <w:rPr>
          <w:i/>
        </w:rPr>
        <w:t>.’</w:t>
      </w:r>
    </w:p>
    <w:p w:rsidR="00166E49" w:rsidRDefault="00166E49" w:rsidP="00166E49">
      <w:pPr>
        <w:rPr>
          <w:u w:val="single"/>
        </w:rPr>
      </w:pPr>
    </w:p>
    <w:p w:rsidR="00175656" w:rsidRPr="00392282" w:rsidRDefault="00392282" w:rsidP="00F423B6">
      <w:pPr>
        <w:pStyle w:val="Default"/>
        <w:rPr>
          <w:b/>
          <w:color w:val="0070C0"/>
        </w:rPr>
      </w:pPr>
      <w:r w:rsidRPr="00392282">
        <w:rPr>
          <w:b/>
          <w:color w:val="0070C0"/>
        </w:rPr>
        <w:t>CASE STUDY</w:t>
      </w:r>
    </w:p>
    <w:p w:rsidR="003B302D" w:rsidRDefault="003B302D" w:rsidP="00175656">
      <w:pPr>
        <w:shd w:val="clear" w:color="auto" w:fill="FFFFFF"/>
        <w:rPr>
          <w:rFonts w:asciiTheme="minorHAnsi" w:eastAsia="Times New Roman" w:hAnsiTheme="minorHAnsi" w:cs="Arial"/>
          <w:color w:val="000000"/>
          <w:lang w:eastAsia="en-AU"/>
        </w:rPr>
      </w:pPr>
    </w:p>
    <w:p w:rsidR="00392282" w:rsidRPr="00392282" w:rsidRDefault="00392282" w:rsidP="00175656">
      <w:pPr>
        <w:shd w:val="clear" w:color="auto" w:fill="FFFFFF"/>
        <w:rPr>
          <w:rFonts w:ascii="Arial" w:eastAsia="Times New Roman" w:hAnsi="Arial" w:cs="Arial"/>
          <w:color w:val="222222"/>
          <w:sz w:val="19"/>
          <w:szCs w:val="19"/>
          <w:lang w:eastAsia="en-AU"/>
        </w:rPr>
      </w:pPr>
      <w:r>
        <w:rPr>
          <w:rFonts w:asciiTheme="minorHAnsi" w:eastAsia="Times New Roman" w:hAnsiTheme="minorHAnsi" w:cs="Arial"/>
          <w:color w:val="000000"/>
          <w:lang w:eastAsia="en-AU"/>
        </w:rPr>
        <w:t>D</w:t>
      </w:r>
      <w:r w:rsidR="00175656" w:rsidRPr="00392282">
        <w:rPr>
          <w:rFonts w:asciiTheme="minorHAnsi" w:eastAsia="Times New Roman" w:hAnsiTheme="minorHAnsi" w:cs="Arial"/>
          <w:color w:val="000000"/>
          <w:lang w:eastAsia="en-AU"/>
        </w:rPr>
        <w:t xml:space="preserve">uring the recent Brisbane City Council elections the ABC broadcast a story highlighting the LNP administration’s apparent failure to divulge a proposed land deal involving an LNP donor. </w:t>
      </w:r>
      <w:r>
        <w:rPr>
          <w:rFonts w:asciiTheme="minorHAnsi" w:eastAsia="Times New Roman" w:hAnsiTheme="minorHAnsi" w:cs="Arial"/>
          <w:color w:val="000000"/>
          <w:lang w:eastAsia="en-AU"/>
        </w:rPr>
        <w:t xml:space="preserve"> </w:t>
      </w:r>
    </w:p>
    <w:p w:rsidR="00392282" w:rsidRDefault="00392282" w:rsidP="00175656">
      <w:pPr>
        <w:shd w:val="clear" w:color="auto" w:fill="FFFFFF"/>
        <w:rPr>
          <w:rFonts w:asciiTheme="minorHAnsi" w:eastAsia="Times New Roman" w:hAnsiTheme="minorHAnsi" w:cs="Arial"/>
          <w:color w:val="000000"/>
          <w:lang w:eastAsia="en-AU"/>
        </w:rPr>
      </w:pPr>
    </w:p>
    <w:p w:rsidR="00175656" w:rsidRPr="00392282" w:rsidRDefault="00175656" w:rsidP="00175656">
      <w:pPr>
        <w:shd w:val="clear" w:color="auto" w:fill="FFFFFF"/>
        <w:rPr>
          <w:rFonts w:asciiTheme="minorHAnsi" w:eastAsia="Times New Roman" w:hAnsiTheme="minorHAnsi" w:cs="Arial"/>
          <w:color w:val="222222"/>
          <w:lang w:eastAsia="en-AU"/>
        </w:rPr>
      </w:pPr>
      <w:r w:rsidRPr="00392282">
        <w:rPr>
          <w:rFonts w:asciiTheme="minorHAnsi" w:eastAsia="Times New Roman" w:hAnsiTheme="minorHAnsi" w:cs="Arial"/>
          <w:color w:val="000000"/>
          <w:lang w:eastAsia="en-AU"/>
        </w:rPr>
        <w:t xml:space="preserve">The proposed deal involved </w:t>
      </w:r>
      <w:r w:rsidR="003B302D">
        <w:rPr>
          <w:rFonts w:asciiTheme="minorHAnsi" w:eastAsia="Times New Roman" w:hAnsiTheme="minorHAnsi" w:cs="Arial"/>
          <w:color w:val="000000"/>
          <w:lang w:eastAsia="en-AU"/>
        </w:rPr>
        <w:t>public land being sold for $3.3</w:t>
      </w:r>
      <w:r w:rsidRPr="00392282">
        <w:rPr>
          <w:rFonts w:asciiTheme="minorHAnsi" w:eastAsia="Times New Roman" w:hAnsiTheme="minorHAnsi" w:cs="Arial"/>
          <w:color w:val="000000"/>
          <w:lang w:eastAsia="en-AU"/>
        </w:rPr>
        <w:t xml:space="preserve">million without the matter being disclosed to ratepayers. </w:t>
      </w:r>
      <w:r w:rsidR="003B302D">
        <w:rPr>
          <w:rFonts w:asciiTheme="minorHAnsi" w:eastAsia="Times New Roman" w:hAnsiTheme="minorHAnsi" w:cs="Arial"/>
          <w:color w:val="000000"/>
          <w:lang w:eastAsia="en-AU"/>
        </w:rPr>
        <w:t xml:space="preserve"> </w:t>
      </w:r>
      <w:r w:rsidRPr="00392282">
        <w:rPr>
          <w:rFonts w:asciiTheme="minorHAnsi" w:eastAsia="Times New Roman" w:hAnsiTheme="minorHAnsi" w:cs="Arial"/>
          <w:color w:val="000000"/>
          <w:lang w:eastAsia="en-AU"/>
        </w:rPr>
        <w:t>This issue on</w:t>
      </w:r>
      <w:r w:rsidR="003B302D">
        <w:rPr>
          <w:rFonts w:asciiTheme="minorHAnsi" w:eastAsia="Times New Roman" w:hAnsiTheme="minorHAnsi" w:cs="Arial"/>
          <w:color w:val="000000"/>
          <w:lang w:eastAsia="en-AU"/>
        </w:rPr>
        <w:t xml:space="preserve">ly came to light because of a whistle-blower, </w:t>
      </w:r>
      <w:r w:rsidR="00392282">
        <w:rPr>
          <w:rFonts w:asciiTheme="minorHAnsi" w:eastAsia="Times New Roman" w:hAnsiTheme="minorHAnsi" w:cs="Arial"/>
          <w:color w:val="000000"/>
          <w:lang w:eastAsia="en-AU"/>
        </w:rPr>
        <w:t>who</w:t>
      </w:r>
      <w:r w:rsidRPr="00392282">
        <w:rPr>
          <w:rFonts w:asciiTheme="minorHAnsi" w:eastAsia="Times New Roman" w:hAnsiTheme="minorHAnsi" w:cs="Arial"/>
          <w:color w:val="000000"/>
          <w:lang w:eastAsia="en-AU"/>
        </w:rPr>
        <w:t xml:space="preserve"> the ABC did not identify. </w:t>
      </w:r>
      <w:r w:rsidR="00392282">
        <w:rPr>
          <w:rFonts w:asciiTheme="minorHAnsi" w:eastAsia="Times New Roman" w:hAnsiTheme="minorHAnsi" w:cs="Arial"/>
          <w:color w:val="000000"/>
          <w:lang w:eastAsia="en-AU"/>
        </w:rPr>
        <w:t xml:space="preserve"> </w:t>
      </w:r>
      <w:r w:rsidR="003B302D">
        <w:rPr>
          <w:rFonts w:asciiTheme="minorHAnsi" w:eastAsia="Times New Roman" w:hAnsiTheme="minorHAnsi" w:cs="Arial"/>
          <w:color w:val="000000"/>
          <w:lang w:eastAsia="en-AU"/>
        </w:rPr>
        <w:t xml:space="preserve">It was later revealed </w:t>
      </w:r>
      <w:r w:rsidRPr="00392282">
        <w:rPr>
          <w:rFonts w:asciiTheme="minorHAnsi" w:eastAsia="Times New Roman" w:hAnsiTheme="minorHAnsi" w:cs="Arial"/>
          <w:color w:val="000000"/>
          <w:lang w:eastAsia="en-AU"/>
        </w:rPr>
        <w:t>the matter was referred by a government department to the CCC for assessment.</w:t>
      </w:r>
    </w:p>
    <w:p w:rsidR="00175656" w:rsidRPr="00392282" w:rsidRDefault="00175656" w:rsidP="00175656">
      <w:pPr>
        <w:shd w:val="clear" w:color="auto" w:fill="FFFFFF"/>
        <w:rPr>
          <w:rFonts w:asciiTheme="minorHAnsi" w:eastAsia="Times New Roman" w:hAnsiTheme="minorHAnsi" w:cs="Arial"/>
          <w:color w:val="222222"/>
          <w:lang w:eastAsia="en-AU"/>
        </w:rPr>
      </w:pPr>
      <w:r w:rsidRPr="00392282">
        <w:rPr>
          <w:rFonts w:asciiTheme="minorHAnsi" w:eastAsia="Times New Roman" w:hAnsiTheme="minorHAnsi" w:cs="Arial"/>
          <w:color w:val="000000"/>
          <w:lang w:eastAsia="en-AU"/>
        </w:rPr>
        <w:t> </w:t>
      </w:r>
    </w:p>
    <w:p w:rsidR="00175656" w:rsidRPr="00392282" w:rsidRDefault="00175656" w:rsidP="00175656">
      <w:pPr>
        <w:shd w:val="clear" w:color="auto" w:fill="FFFFFF"/>
        <w:rPr>
          <w:rFonts w:asciiTheme="minorHAnsi" w:eastAsia="Times New Roman" w:hAnsiTheme="minorHAnsi" w:cs="Arial"/>
          <w:color w:val="222222"/>
          <w:lang w:eastAsia="en-AU"/>
        </w:rPr>
      </w:pPr>
      <w:r w:rsidRPr="00392282">
        <w:rPr>
          <w:rFonts w:asciiTheme="minorHAnsi" w:eastAsia="Times New Roman" w:hAnsiTheme="minorHAnsi" w:cs="Arial"/>
          <w:color w:val="000000"/>
          <w:lang w:eastAsia="en-AU"/>
        </w:rPr>
        <w:t>The story raised many issue</w:t>
      </w:r>
      <w:r w:rsidR="00970474">
        <w:rPr>
          <w:rFonts w:asciiTheme="minorHAnsi" w:eastAsia="Times New Roman" w:hAnsiTheme="minorHAnsi" w:cs="Arial"/>
          <w:color w:val="000000"/>
          <w:lang w:eastAsia="en-AU"/>
        </w:rPr>
        <w:t>s</w:t>
      </w:r>
      <w:r w:rsidRPr="00392282">
        <w:rPr>
          <w:rFonts w:asciiTheme="minorHAnsi" w:eastAsia="Times New Roman" w:hAnsiTheme="minorHAnsi" w:cs="Arial"/>
          <w:color w:val="000000"/>
          <w:lang w:eastAsia="en-AU"/>
        </w:rPr>
        <w:t xml:space="preserve"> of public importance – the role of political donation</w:t>
      </w:r>
      <w:r w:rsidR="003B302D">
        <w:rPr>
          <w:rFonts w:asciiTheme="minorHAnsi" w:eastAsia="Times New Roman" w:hAnsiTheme="minorHAnsi" w:cs="Arial"/>
          <w:color w:val="000000"/>
          <w:lang w:eastAsia="en-AU"/>
        </w:rPr>
        <w:t xml:space="preserve">s in public administration, </w:t>
      </w:r>
      <w:r w:rsidRPr="00392282">
        <w:rPr>
          <w:rFonts w:asciiTheme="minorHAnsi" w:eastAsia="Times New Roman" w:hAnsiTheme="minorHAnsi" w:cs="Arial"/>
          <w:color w:val="000000"/>
          <w:lang w:eastAsia="en-AU"/>
        </w:rPr>
        <w:t>the obligations of political parties to disclose dealings with donors, and the levels of transparency in government.</w:t>
      </w:r>
    </w:p>
    <w:p w:rsidR="00175656" w:rsidRPr="00392282" w:rsidRDefault="00175656" w:rsidP="00175656">
      <w:pPr>
        <w:shd w:val="clear" w:color="auto" w:fill="FFFFFF"/>
        <w:rPr>
          <w:rFonts w:asciiTheme="minorHAnsi" w:eastAsia="Times New Roman" w:hAnsiTheme="minorHAnsi" w:cs="Arial"/>
          <w:color w:val="222222"/>
          <w:lang w:eastAsia="en-AU"/>
        </w:rPr>
      </w:pPr>
      <w:r w:rsidRPr="00392282">
        <w:rPr>
          <w:rFonts w:asciiTheme="minorHAnsi" w:eastAsia="Times New Roman" w:hAnsiTheme="minorHAnsi" w:cs="Arial"/>
          <w:color w:val="000000"/>
          <w:lang w:eastAsia="en-AU"/>
        </w:rPr>
        <w:t> </w:t>
      </w:r>
    </w:p>
    <w:p w:rsidR="00175656" w:rsidRPr="00392282" w:rsidRDefault="003B302D" w:rsidP="00175656">
      <w:pPr>
        <w:shd w:val="clear" w:color="auto" w:fill="FFFFFF"/>
        <w:rPr>
          <w:rFonts w:asciiTheme="minorHAnsi" w:eastAsia="Times New Roman" w:hAnsiTheme="minorHAnsi" w:cs="Arial"/>
          <w:color w:val="222222"/>
          <w:lang w:eastAsia="en-AU"/>
        </w:rPr>
      </w:pPr>
      <w:r>
        <w:rPr>
          <w:rFonts w:asciiTheme="minorHAnsi" w:eastAsia="Times New Roman" w:hAnsiTheme="minorHAnsi" w:cs="Arial"/>
          <w:color w:val="000000"/>
          <w:lang w:eastAsia="en-AU"/>
        </w:rPr>
        <w:t>As this example</w:t>
      </w:r>
      <w:r w:rsidR="00175656" w:rsidRPr="00392282">
        <w:rPr>
          <w:rFonts w:asciiTheme="minorHAnsi" w:eastAsia="Times New Roman" w:hAnsiTheme="minorHAnsi" w:cs="Arial"/>
          <w:color w:val="000000"/>
          <w:lang w:eastAsia="en-AU"/>
        </w:rPr>
        <w:t xml:space="preserve"> demonstrates, there are occasions media revelations precipitate the referral of matters to the CCC, and along with it an attempt to “political point score”.</w:t>
      </w:r>
      <w:r>
        <w:rPr>
          <w:rFonts w:asciiTheme="minorHAnsi" w:eastAsia="Times New Roman" w:hAnsiTheme="minorHAnsi" w:cs="Arial"/>
          <w:color w:val="000000"/>
          <w:lang w:eastAsia="en-AU"/>
        </w:rPr>
        <w:t xml:space="preserve"> </w:t>
      </w:r>
      <w:r w:rsidR="00175656" w:rsidRPr="00392282">
        <w:rPr>
          <w:rFonts w:asciiTheme="minorHAnsi" w:eastAsia="Times New Roman" w:hAnsiTheme="minorHAnsi" w:cs="Arial"/>
          <w:color w:val="000000"/>
          <w:lang w:eastAsia="en-AU"/>
        </w:rPr>
        <w:t xml:space="preserve"> </w:t>
      </w:r>
      <w:r>
        <w:rPr>
          <w:rFonts w:asciiTheme="minorHAnsi" w:eastAsia="Times New Roman" w:hAnsiTheme="minorHAnsi" w:cs="Arial"/>
          <w:color w:val="000000"/>
          <w:lang w:eastAsia="en-AU"/>
        </w:rPr>
        <w:t>In</w:t>
      </w:r>
      <w:r w:rsidR="00175656" w:rsidRPr="00392282">
        <w:rPr>
          <w:rFonts w:asciiTheme="minorHAnsi" w:eastAsia="Times New Roman" w:hAnsiTheme="minorHAnsi" w:cs="Arial"/>
          <w:color w:val="000000"/>
          <w:lang w:eastAsia="en-AU"/>
        </w:rPr>
        <w:t xml:space="preserve"> this case, the CCC found that while it would take no action it did find that the matter highlighted how “certain practices in local government may give rise to perceptions of allegations of corruption”.</w:t>
      </w:r>
    </w:p>
    <w:p w:rsidR="00175656" w:rsidRPr="00392282" w:rsidRDefault="00175656" w:rsidP="00175656">
      <w:pPr>
        <w:shd w:val="clear" w:color="auto" w:fill="FFFFFF"/>
        <w:rPr>
          <w:rFonts w:asciiTheme="minorHAnsi" w:eastAsia="Times New Roman" w:hAnsiTheme="minorHAnsi" w:cs="Arial"/>
          <w:color w:val="222222"/>
          <w:lang w:eastAsia="en-AU"/>
        </w:rPr>
      </w:pPr>
      <w:r w:rsidRPr="00392282">
        <w:rPr>
          <w:rFonts w:asciiTheme="minorHAnsi" w:eastAsia="Times New Roman" w:hAnsiTheme="minorHAnsi" w:cs="Arial"/>
          <w:color w:val="000000"/>
          <w:lang w:eastAsia="en-AU"/>
        </w:rPr>
        <w:t> </w:t>
      </w:r>
    </w:p>
    <w:p w:rsidR="00175656" w:rsidRPr="00392282" w:rsidRDefault="003B302D" w:rsidP="00175656">
      <w:pPr>
        <w:shd w:val="clear" w:color="auto" w:fill="FFFFFF"/>
        <w:rPr>
          <w:rFonts w:asciiTheme="minorHAnsi" w:eastAsia="Times New Roman" w:hAnsiTheme="minorHAnsi" w:cs="Arial"/>
          <w:color w:val="222222"/>
          <w:lang w:eastAsia="en-AU"/>
        </w:rPr>
      </w:pPr>
      <w:r>
        <w:rPr>
          <w:rFonts w:asciiTheme="minorHAnsi" w:eastAsia="Times New Roman" w:hAnsiTheme="minorHAnsi" w:cs="Arial"/>
          <w:color w:val="000000"/>
          <w:lang w:eastAsia="en-AU"/>
        </w:rPr>
        <w:t>The</w:t>
      </w:r>
      <w:r w:rsidR="00175656" w:rsidRPr="00392282">
        <w:rPr>
          <w:rFonts w:asciiTheme="minorHAnsi" w:eastAsia="Times New Roman" w:hAnsiTheme="minorHAnsi" w:cs="Arial"/>
          <w:color w:val="000000"/>
          <w:lang w:eastAsia="en-AU"/>
        </w:rPr>
        <w:t xml:space="preserve"> reporting of this matter did not impact on the CCC’s effectiveness in asses</w:t>
      </w:r>
      <w:r>
        <w:rPr>
          <w:rFonts w:asciiTheme="minorHAnsi" w:eastAsia="Times New Roman" w:hAnsiTheme="minorHAnsi" w:cs="Arial"/>
          <w:color w:val="000000"/>
          <w:lang w:eastAsia="en-AU"/>
        </w:rPr>
        <w:t>sing the complaint, nor denied</w:t>
      </w:r>
      <w:r w:rsidR="00175656" w:rsidRPr="00392282">
        <w:rPr>
          <w:rFonts w:asciiTheme="minorHAnsi" w:eastAsia="Times New Roman" w:hAnsiTheme="minorHAnsi" w:cs="Arial"/>
          <w:color w:val="000000"/>
          <w:lang w:eastAsia="en-AU"/>
        </w:rPr>
        <w:t xml:space="preserve"> any person natural justice.</w:t>
      </w:r>
    </w:p>
    <w:p w:rsidR="003B302D" w:rsidRDefault="00175656" w:rsidP="00175656">
      <w:pPr>
        <w:shd w:val="clear" w:color="auto" w:fill="FFFFFF"/>
        <w:rPr>
          <w:rFonts w:asciiTheme="minorHAnsi" w:eastAsia="Times New Roman" w:hAnsiTheme="minorHAnsi" w:cs="Arial"/>
          <w:color w:val="222222"/>
          <w:lang w:eastAsia="en-AU"/>
        </w:rPr>
      </w:pPr>
      <w:r w:rsidRPr="00392282">
        <w:rPr>
          <w:rFonts w:asciiTheme="minorHAnsi" w:eastAsia="Times New Roman" w:hAnsiTheme="minorHAnsi" w:cs="Arial"/>
          <w:color w:val="000000"/>
          <w:lang w:eastAsia="en-AU"/>
        </w:rPr>
        <w:t> </w:t>
      </w:r>
    </w:p>
    <w:p w:rsidR="00BC09AA" w:rsidRPr="003B302D" w:rsidRDefault="003B302D" w:rsidP="003B302D">
      <w:pPr>
        <w:shd w:val="clear" w:color="auto" w:fill="FFFFFF"/>
        <w:rPr>
          <w:rFonts w:asciiTheme="minorHAnsi" w:eastAsia="Times New Roman" w:hAnsiTheme="minorHAnsi" w:cs="Arial"/>
          <w:color w:val="222222"/>
          <w:lang w:eastAsia="en-AU"/>
        </w:rPr>
      </w:pPr>
      <w:r>
        <w:rPr>
          <w:rFonts w:asciiTheme="minorHAnsi" w:eastAsia="Times New Roman" w:hAnsiTheme="minorHAnsi" w:cs="Arial"/>
          <w:color w:val="000000"/>
          <w:lang w:eastAsia="en-AU"/>
        </w:rPr>
        <w:t xml:space="preserve">In fact, </w:t>
      </w:r>
      <w:r w:rsidR="00175656" w:rsidRPr="00392282">
        <w:rPr>
          <w:rFonts w:asciiTheme="minorHAnsi" w:eastAsia="Times New Roman" w:hAnsiTheme="minorHAnsi" w:cs="Arial"/>
          <w:color w:val="000000"/>
          <w:lang w:eastAsia="en-AU"/>
        </w:rPr>
        <w:t>the reporting of this matter highlighted the importance of transparency and accountability for public and elected officials, as well as the need for a debate about donation disclosure obligations.</w:t>
      </w:r>
    </w:p>
    <w:sectPr w:rsidR="00BC09AA" w:rsidRPr="003B302D" w:rsidSect="00E1594B">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FD" w:rsidRDefault="000311FD" w:rsidP="00F4755B">
      <w:r>
        <w:separator/>
      </w:r>
    </w:p>
  </w:endnote>
  <w:endnote w:type="continuationSeparator" w:id="0">
    <w:p w:rsidR="000311FD" w:rsidRDefault="000311FD" w:rsidP="00F4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7" w:rsidRDefault="006E5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53483"/>
      <w:docPartObj>
        <w:docPartGallery w:val="Page Numbers (Bottom of Page)"/>
        <w:docPartUnique/>
      </w:docPartObj>
    </w:sdtPr>
    <w:sdtEndPr>
      <w:rPr>
        <w:noProof/>
      </w:rPr>
    </w:sdtEndPr>
    <w:sdtContent>
      <w:p w:rsidR="00C6684E" w:rsidRDefault="00C6684E">
        <w:pPr>
          <w:pStyle w:val="Footer"/>
          <w:jc w:val="right"/>
        </w:pPr>
        <w:r>
          <w:fldChar w:fldCharType="begin"/>
        </w:r>
        <w:r>
          <w:instrText xml:space="preserve"> PAGE   \* MERGEFORMAT </w:instrText>
        </w:r>
        <w:r>
          <w:fldChar w:fldCharType="separate"/>
        </w:r>
        <w:r w:rsidR="002866D1">
          <w:rPr>
            <w:noProof/>
          </w:rPr>
          <w:t>2</w:t>
        </w:r>
        <w:r>
          <w:rPr>
            <w:noProof/>
          </w:rPr>
          <w:fldChar w:fldCharType="end"/>
        </w:r>
      </w:p>
    </w:sdtContent>
  </w:sdt>
  <w:p w:rsidR="00E1594B" w:rsidRDefault="00E15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7" w:rsidRDefault="006E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FD" w:rsidRDefault="000311FD" w:rsidP="00F4755B">
      <w:r>
        <w:separator/>
      </w:r>
    </w:p>
  </w:footnote>
  <w:footnote w:type="continuationSeparator" w:id="0">
    <w:p w:rsidR="000311FD" w:rsidRDefault="000311FD" w:rsidP="00F4755B">
      <w:r>
        <w:continuationSeparator/>
      </w:r>
    </w:p>
  </w:footnote>
  <w:footnote w:id="1">
    <w:p w:rsidR="00E1594B" w:rsidRDefault="00E1594B">
      <w:pPr>
        <w:pStyle w:val="FootnoteText"/>
      </w:pPr>
      <w:r>
        <w:rPr>
          <w:rStyle w:val="FootnoteReference"/>
        </w:rPr>
        <w:footnoteRef/>
      </w:r>
      <w:r>
        <w:t xml:space="preserve"> 189 CLR 520</w:t>
      </w:r>
    </w:p>
  </w:footnote>
  <w:footnote w:id="2">
    <w:p w:rsidR="00E1594B" w:rsidRDefault="00E1594B">
      <w:pPr>
        <w:pStyle w:val="FootnoteText"/>
      </w:pPr>
      <w:r>
        <w:rPr>
          <w:rStyle w:val="FootnoteReference"/>
        </w:rPr>
        <w:footnoteRef/>
      </w:r>
      <w:r>
        <w:t xml:space="preserve"> </w:t>
      </w:r>
      <w:hyperlink r:id="rId1" w:history="1">
        <w:r w:rsidRPr="00A510BE">
          <w:rPr>
            <w:rStyle w:val="Hyperlink"/>
          </w:rPr>
          <w:t>http://www.austlii.edu.au/au/legis/qld/consol_act/caca2001219/s15.html</w:t>
        </w:r>
      </w:hyperlink>
      <w:r>
        <w:t xml:space="preserve"> </w:t>
      </w:r>
    </w:p>
  </w:footnote>
  <w:footnote w:id="3">
    <w:p w:rsidR="00E1594B" w:rsidRDefault="00E1594B">
      <w:pPr>
        <w:pStyle w:val="FootnoteText"/>
      </w:pPr>
      <w:r>
        <w:rPr>
          <w:rStyle w:val="FootnoteReference"/>
        </w:rPr>
        <w:footnoteRef/>
      </w:r>
      <w:r>
        <w:t xml:space="preserve"> McHugh J, 182 CLR 21 [at 15] </w:t>
      </w:r>
      <w:hyperlink r:id="rId2" w:history="1">
        <w:r w:rsidRPr="00A510BE">
          <w:rPr>
            <w:rStyle w:val="Hyperlink"/>
          </w:rPr>
          <w:t>https://jade.io/article/67850</w:t>
        </w:r>
      </w:hyperlink>
      <w:r>
        <w:t xml:space="preserve"> </w:t>
      </w:r>
    </w:p>
  </w:footnote>
  <w:footnote w:id="4">
    <w:p w:rsidR="00E1594B" w:rsidRDefault="00E1594B">
      <w:pPr>
        <w:pStyle w:val="FootnoteText"/>
      </w:pPr>
      <w:r>
        <w:rPr>
          <w:rStyle w:val="FootnoteReference"/>
        </w:rPr>
        <w:footnoteRef/>
      </w:r>
      <w:r>
        <w:t xml:space="preserve"> </w:t>
      </w:r>
      <w:hyperlink r:id="rId3" w:history="1">
        <w:r w:rsidRPr="00A510BE">
          <w:rPr>
            <w:rStyle w:val="Hyperlink"/>
          </w:rPr>
          <w:t>https://www.dpmc.gov.au/sites/default/files/publications/inslm_report_impact_s35p_journalists.pdf</w:t>
        </w:r>
      </w:hyperlink>
      <w:r>
        <w:t xml:space="preserve"> </w:t>
      </w:r>
    </w:p>
  </w:footnote>
  <w:footnote w:id="5">
    <w:p w:rsidR="00E1594B" w:rsidRDefault="00E1594B">
      <w:pPr>
        <w:pStyle w:val="FootnoteText"/>
      </w:pPr>
      <w:r>
        <w:rPr>
          <w:rStyle w:val="FootnoteReference"/>
        </w:rPr>
        <w:footnoteRef/>
      </w:r>
      <w:r>
        <w:t xml:space="preserve"> </w:t>
      </w:r>
      <w:hyperlink r:id="rId4" w:history="1">
        <w:r w:rsidRPr="00A510BE">
          <w:rPr>
            <w:rStyle w:val="Hyperlink"/>
          </w:rPr>
          <w:t>https://www.alrc.gov.au/publications/freedoms-alrc129</w:t>
        </w:r>
      </w:hyperlink>
      <w:r>
        <w:t xml:space="preserve"> </w:t>
      </w:r>
    </w:p>
  </w:footnote>
  <w:footnote w:id="6">
    <w:p w:rsidR="00E1594B" w:rsidRDefault="00E1594B">
      <w:pPr>
        <w:pStyle w:val="FootnoteText"/>
      </w:pPr>
      <w:r>
        <w:rPr>
          <w:rStyle w:val="FootnoteReference"/>
        </w:rPr>
        <w:footnoteRef/>
      </w:r>
      <w:r>
        <w:t xml:space="preserve"> </w:t>
      </w:r>
      <w:hyperlink r:id="rId5" w:history="1">
        <w:r w:rsidRPr="00A510BE">
          <w:rPr>
            <w:rStyle w:val="Hyperlink"/>
          </w:rPr>
          <w:t>http://www.alrc.gov.au/sites/default/files/subs/70._org_joint_media_organisations_final.pdf</w:t>
        </w:r>
      </w:hyperlink>
      <w:r>
        <w:t xml:space="preserve"> </w:t>
      </w:r>
    </w:p>
  </w:footnote>
  <w:footnote w:id="7">
    <w:p w:rsidR="00E1594B" w:rsidRDefault="00E1594B">
      <w:pPr>
        <w:pStyle w:val="FootnoteText"/>
      </w:pPr>
      <w:r>
        <w:rPr>
          <w:rStyle w:val="FootnoteReference"/>
        </w:rPr>
        <w:footnoteRef/>
      </w:r>
      <w:r w:rsidR="00EB071B">
        <w:t xml:space="preserve"> </w:t>
      </w:r>
      <w:hyperlink r:id="rId6" w:history="1">
        <w:r w:rsidRPr="00A510BE">
          <w:rPr>
            <w:rStyle w:val="Hyperlink"/>
          </w:rPr>
          <w:t>http://www.austlii.edu.au/cgi-bin/sinodisp/au/cases/qld/QCA/2004/135.html?stem=0&amp;synonyms=0&amp;query=favell%20and%20queensland%20newspaper%20and%20high%20court</w:t>
        </w:r>
      </w:hyperlink>
      <w:r>
        <w:t xml:space="preserve"> </w:t>
      </w:r>
    </w:p>
  </w:footnote>
  <w:footnote w:id="8">
    <w:p w:rsidR="00E1594B" w:rsidRDefault="00E1594B">
      <w:pPr>
        <w:pStyle w:val="FootnoteText"/>
      </w:pPr>
      <w:r>
        <w:rPr>
          <w:rStyle w:val="FootnoteReference"/>
        </w:rPr>
        <w:footnoteRef/>
      </w:r>
      <w:r>
        <w:t xml:space="preserve"> </w:t>
      </w:r>
      <w:hyperlink r:id="rId7" w:history="1">
        <w:r w:rsidRPr="00A510BE">
          <w:rPr>
            <w:rStyle w:val="Hyperlink"/>
          </w:rPr>
          <w:t>http://www.austlii.edu.au/au/legis/qld/consol_act/caca2001219/s202.html</w:t>
        </w:r>
      </w:hyperlink>
      <w:r>
        <w:t xml:space="preserve"> </w:t>
      </w:r>
    </w:p>
  </w:footnote>
  <w:footnote w:id="9">
    <w:p w:rsidR="00EB071B" w:rsidRDefault="00EB071B">
      <w:pPr>
        <w:pStyle w:val="FootnoteText"/>
      </w:pPr>
      <w:r>
        <w:rPr>
          <w:rStyle w:val="FootnoteReference"/>
        </w:rPr>
        <w:footnoteRef/>
      </w:r>
      <w:r>
        <w:t xml:space="preserve"> </w:t>
      </w:r>
      <w:hyperlink r:id="rId8" w:history="1">
        <w:r w:rsidRPr="00A510BE">
          <w:rPr>
            <w:rStyle w:val="Hyperlink"/>
          </w:rPr>
          <w:t>http://www.austlii.edu.au/cgi-bin/sinodisp/au/cases/nsw/NSWSC/2015/357.html</w:t>
        </w:r>
      </w:hyperlink>
      <w:r>
        <w:t xml:space="preserve"> </w:t>
      </w:r>
    </w:p>
  </w:footnote>
  <w:footnote w:id="10">
    <w:p w:rsidR="00EB071B" w:rsidRDefault="00EB071B">
      <w:pPr>
        <w:pStyle w:val="FootnoteText"/>
      </w:pPr>
      <w:r>
        <w:rPr>
          <w:rStyle w:val="FootnoteReference"/>
        </w:rPr>
        <w:footnoteRef/>
      </w:r>
      <w:r>
        <w:t xml:space="preserve"> </w:t>
      </w:r>
      <w:hyperlink r:id="rId9" w:history="1">
        <w:r w:rsidRPr="00A510BE">
          <w:rPr>
            <w:rStyle w:val="Hyperlink"/>
          </w:rPr>
          <w:t>http://www.austlii.edu.au/cgi-bin/sinodisp/au/cases/cth/HCA/2016/10.html</w:t>
        </w:r>
      </w:hyperlink>
      <w:r>
        <w:t xml:space="preserve"> </w:t>
      </w:r>
    </w:p>
  </w:footnote>
  <w:footnote w:id="11">
    <w:p w:rsidR="00EB071B" w:rsidRDefault="00EB071B">
      <w:pPr>
        <w:pStyle w:val="FootnoteText"/>
      </w:pPr>
      <w:r>
        <w:rPr>
          <w:rStyle w:val="FootnoteReference"/>
        </w:rPr>
        <w:footnoteRef/>
      </w:r>
      <w:r>
        <w:t xml:space="preserve"> </w:t>
      </w:r>
      <w:hyperlink r:id="rId10" w:history="1">
        <w:r w:rsidRPr="00A510BE">
          <w:rPr>
            <w:rStyle w:val="Hyperlink"/>
          </w:rPr>
          <w:t>http://archive.sclqld.org.au/qjudgment/2008/QCA08-227.pdf</w:t>
        </w:r>
      </w:hyperlink>
      <w:r>
        <w:t xml:space="preserve"> </w:t>
      </w:r>
    </w:p>
  </w:footnote>
  <w:footnote w:id="12">
    <w:p w:rsidR="00EB071B" w:rsidRDefault="00EB071B">
      <w:pPr>
        <w:pStyle w:val="FootnoteText"/>
      </w:pPr>
      <w:r>
        <w:rPr>
          <w:rStyle w:val="FootnoteReference"/>
        </w:rPr>
        <w:footnoteRef/>
      </w:r>
      <w:r>
        <w:t xml:space="preserve"> </w:t>
      </w:r>
      <w:hyperlink r:id="rId11" w:history="1">
        <w:r w:rsidRPr="00A510BE">
          <w:rPr>
            <w:rStyle w:val="Hyperlink"/>
          </w:rPr>
          <w:t>http://www.austlii.edu.au/cgi-bin/sinodisp/au/cases/nsw/NSWCCA/2015/330.html?stem=0&amp;synonyms=0&amp;query=%22hey%20dad%22%20and%20appeal</w:t>
        </w:r>
      </w:hyperlink>
      <w:r>
        <w:t xml:space="preserve"> </w:t>
      </w:r>
    </w:p>
  </w:footnote>
  <w:footnote w:id="13">
    <w:p w:rsidR="00597222" w:rsidRDefault="00597222">
      <w:pPr>
        <w:pStyle w:val="FootnoteText"/>
      </w:pPr>
      <w:r>
        <w:rPr>
          <w:rStyle w:val="FootnoteReference"/>
        </w:rPr>
        <w:footnoteRef/>
      </w:r>
      <w:r>
        <w:t xml:space="preserve">Section 69A, </w:t>
      </w:r>
      <w:r w:rsidRPr="00597222">
        <w:rPr>
          <w:i/>
        </w:rPr>
        <w:t>Jury Act 1995</w:t>
      </w:r>
      <w:r>
        <w:t xml:space="preserve">,  </w:t>
      </w:r>
      <w:hyperlink r:id="rId12" w:history="1">
        <w:r w:rsidRPr="00A510BE">
          <w:rPr>
            <w:rStyle w:val="Hyperlink"/>
          </w:rPr>
          <w:t>http://www.austlii.edu.au/au/legis/qld/consol_act/ja199591/s69a.html</w:t>
        </w:r>
      </w:hyperlink>
      <w:r>
        <w:t xml:space="preserve"> </w:t>
      </w:r>
    </w:p>
  </w:footnote>
  <w:footnote w:id="14">
    <w:p w:rsidR="00712BBF" w:rsidRPr="00712BBF" w:rsidRDefault="00712BBF">
      <w:pPr>
        <w:pStyle w:val="FootnoteText"/>
      </w:pPr>
      <w:r>
        <w:rPr>
          <w:rStyle w:val="FootnoteReference"/>
        </w:rPr>
        <w:footnoteRef/>
      </w:r>
      <w:r>
        <w:t xml:space="preserve"> See section 210 of the </w:t>
      </w:r>
      <w:r w:rsidRPr="00712BBF">
        <w:rPr>
          <w:i/>
        </w:rPr>
        <w:t>Crime and Corruption Act</w:t>
      </w:r>
      <w:r>
        <w:t xml:space="preserve">, </w:t>
      </w:r>
      <w:hyperlink r:id="rId13" w:history="1">
        <w:r w:rsidRPr="00A510BE">
          <w:rPr>
            <w:rStyle w:val="Hyperlink"/>
          </w:rPr>
          <w:t>http://www.austlii.edu.au/au/legis/qld/consol_act/caca2001219/s210.html</w:t>
        </w:r>
      </w:hyperlink>
      <w:r>
        <w:t xml:space="preserve"> </w:t>
      </w:r>
    </w:p>
  </w:footnote>
  <w:footnote w:id="15">
    <w:p w:rsidR="00E1594B" w:rsidRDefault="00E1594B" w:rsidP="00F423B6">
      <w:pPr>
        <w:pStyle w:val="FootnoteText"/>
      </w:pPr>
      <w:r>
        <w:rPr>
          <w:rStyle w:val="FootnoteReference"/>
        </w:rPr>
        <w:footnoteRef/>
      </w:r>
      <w:r>
        <w:t xml:space="preserve"> p4 and 5of the Discussion Paper</w:t>
      </w:r>
    </w:p>
  </w:footnote>
  <w:footnote w:id="16">
    <w:p w:rsidR="00E1594B" w:rsidRDefault="00E1594B" w:rsidP="00166E49">
      <w:pPr>
        <w:pStyle w:val="FootnoteText"/>
      </w:pPr>
      <w:r>
        <w:rPr>
          <w:rStyle w:val="FootnoteReference"/>
        </w:rPr>
        <w:footnoteRef/>
      </w:r>
      <w:r>
        <w:t xml:space="preserve"> 28 March 2013, </w:t>
      </w:r>
    </w:p>
  </w:footnote>
  <w:footnote w:id="17">
    <w:p w:rsidR="00E1594B" w:rsidRDefault="00E1594B" w:rsidP="00166E49">
      <w:pPr>
        <w:pStyle w:val="FootnoteText"/>
      </w:pPr>
      <w:r>
        <w:rPr>
          <w:rStyle w:val="FootnoteReference"/>
        </w:rPr>
        <w:footnoteRef/>
      </w:r>
      <w:r>
        <w:t xml:space="preserve"> p208 and 209, the Callinan &amp; Aroney Review, </w:t>
      </w:r>
      <w:hyperlink r:id="rId14" w:history="1">
        <w:r w:rsidRPr="00A510BE">
          <w:rPr>
            <w:rStyle w:val="Hyperlink"/>
          </w:rPr>
          <w:t>http://www.justice.qld.gov.au/__data/assets/pdf_file/0020/204536/queensland-government-response-to-cmc-reviews.pdf</w:t>
        </w:r>
      </w:hyperlink>
      <w:r>
        <w:t xml:space="preserve"> </w:t>
      </w:r>
    </w:p>
  </w:footnote>
  <w:footnote w:id="18">
    <w:p w:rsidR="00E1594B" w:rsidRDefault="00E1594B" w:rsidP="00166E49">
      <w:pPr>
        <w:pStyle w:val="FootnoteText"/>
      </w:pPr>
      <w:r>
        <w:rPr>
          <w:rStyle w:val="FootnoteReference"/>
        </w:rPr>
        <w:footnoteRef/>
      </w:r>
      <w:r>
        <w:t xml:space="preserve"> Ibid, p209</w:t>
      </w:r>
    </w:p>
  </w:footnote>
  <w:footnote w:id="19">
    <w:p w:rsidR="00E1594B" w:rsidRDefault="00E1594B" w:rsidP="00166E49">
      <w:pPr>
        <w:pStyle w:val="FootnoteText"/>
      </w:pPr>
      <w:r>
        <w:rPr>
          <w:rStyle w:val="FootnoteReference"/>
        </w:rPr>
        <w:footnoteRef/>
      </w:r>
      <w:r>
        <w:t xml:space="preserve"> Ibid, p209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7" w:rsidRDefault="006E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7" w:rsidRDefault="006E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7" w:rsidRDefault="006E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280"/>
    <w:multiLevelType w:val="hybridMultilevel"/>
    <w:tmpl w:val="CAD25706"/>
    <w:lvl w:ilvl="0" w:tplc="1CD8154C">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8711A65"/>
    <w:multiLevelType w:val="hybridMultilevel"/>
    <w:tmpl w:val="75B06B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D30F1A"/>
    <w:multiLevelType w:val="multilevel"/>
    <w:tmpl w:val="FD4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E0928"/>
    <w:multiLevelType w:val="hybridMultilevel"/>
    <w:tmpl w:val="F00A39A8"/>
    <w:lvl w:ilvl="0" w:tplc="60D8C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8630D"/>
    <w:multiLevelType w:val="hybridMultilevel"/>
    <w:tmpl w:val="5EA695D2"/>
    <w:lvl w:ilvl="0" w:tplc="60D8C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A0346"/>
    <w:multiLevelType w:val="hybridMultilevel"/>
    <w:tmpl w:val="CD8061F0"/>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4347A3"/>
    <w:multiLevelType w:val="hybridMultilevel"/>
    <w:tmpl w:val="F26A5364"/>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921DE7"/>
    <w:multiLevelType w:val="hybridMultilevel"/>
    <w:tmpl w:val="7B001276"/>
    <w:lvl w:ilvl="0" w:tplc="0F80FD56">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361A4F8A"/>
    <w:multiLevelType w:val="hybridMultilevel"/>
    <w:tmpl w:val="B42A3854"/>
    <w:lvl w:ilvl="0" w:tplc="B2D66C64">
      <w:start w:val="1"/>
      <w:numFmt w:val="upperLetter"/>
      <w:lvlText w:val="(%1)"/>
      <w:lvlJc w:val="left"/>
      <w:pPr>
        <w:ind w:left="1080" w:hanging="360"/>
      </w:pPr>
      <w:rPr>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37296201"/>
    <w:multiLevelType w:val="hybridMultilevel"/>
    <w:tmpl w:val="21FE89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879496C"/>
    <w:multiLevelType w:val="hybridMultilevel"/>
    <w:tmpl w:val="9B9075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981506D"/>
    <w:multiLevelType w:val="hybridMultilevel"/>
    <w:tmpl w:val="50261C8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A06260D"/>
    <w:multiLevelType w:val="hybridMultilevel"/>
    <w:tmpl w:val="10CA85C6"/>
    <w:lvl w:ilvl="0" w:tplc="AD02921C">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443279BF"/>
    <w:multiLevelType w:val="hybridMultilevel"/>
    <w:tmpl w:val="996A16BC"/>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CC38A8"/>
    <w:multiLevelType w:val="hybridMultilevel"/>
    <w:tmpl w:val="DD441742"/>
    <w:lvl w:ilvl="0" w:tplc="05806632">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47147F2E"/>
    <w:multiLevelType w:val="hybridMultilevel"/>
    <w:tmpl w:val="6A18776E"/>
    <w:lvl w:ilvl="0" w:tplc="60D8C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35725"/>
    <w:multiLevelType w:val="hybridMultilevel"/>
    <w:tmpl w:val="46FC7DB6"/>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EC1A35"/>
    <w:multiLevelType w:val="hybridMultilevel"/>
    <w:tmpl w:val="26F299D0"/>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E92B42"/>
    <w:multiLevelType w:val="hybridMultilevel"/>
    <w:tmpl w:val="6C06C52E"/>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3A06E6"/>
    <w:multiLevelType w:val="hybridMultilevel"/>
    <w:tmpl w:val="2DC8B4A2"/>
    <w:lvl w:ilvl="0" w:tplc="5332229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6895DC0"/>
    <w:multiLevelType w:val="hybridMultilevel"/>
    <w:tmpl w:val="300CCAEA"/>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0B7BD6"/>
    <w:multiLevelType w:val="hybridMultilevel"/>
    <w:tmpl w:val="026E82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C1F0656"/>
    <w:multiLevelType w:val="hybridMultilevel"/>
    <w:tmpl w:val="92AE8304"/>
    <w:lvl w:ilvl="0" w:tplc="058066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4"/>
  </w:num>
  <w:num w:numId="6">
    <w:abstractNumId w:val="22"/>
  </w:num>
  <w:num w:numId="7">
    <w:abstractNumId w:val="2"/>
  </w:num>
  <w:num w:numId="8">
    <w:abstractNumId w:val="1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21"/>
  </w:num>
  <w:num w:numId="14">
    <w:abstractNumId w:val="17"/>
  </w:num>
  <w:num w:numId="15">
    <w:abstractNumId w:val="9"/>
  </w:num>
  <w:num w:numId="16">
    <w:abstractNumId w:val="14"/>
  </w:num>
  <w:num w:numId="17">
    <w:abstractNumId w:val="18"/>
  </w:num>
  <w:num w:numId="18">
    <w:abstractNumId w:val="12"/>
  </w:num>
  <w:num w:numId="19">
    <w:abstractNumId w:val="15"/>
  </w:num>
  <w:num w:numId="20">
    <w:abstractNumId w:val="20"/>
  </w:num>
  <w:num w:numId="21">
    <w:abstractNumId w:val="1"/>
  </w:num>
  <w:num w:numId="22">
    <w:abstractNumId w:val="10"/>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B"/>
    <w:rsid w:val="000311FD"/>
    <w:rsid w:val="00040C51"/>
    <w:rsid w:val="000419F0"/>
    <w:rsid w:val="00050A54"/>
    <w:rsid w:val="000D0E0E"/>
    <w:rsid w:val="000F2306"/>
    <w:rsid w:val="001202B7"/>
    <w:rsid w:val="001251B2"/>
    <w:rsid w:val="00163CFF"/>
    <w:rsid w:val="00166E49"/>
    <w:rsid w:val="001704DA"/>
    <w:rsid w:val="00175656"/>
    <w:rsid w:val="001F6EF0"/>
    <w:rsid w:val="002279E1"/>
    <w:rsid w:val="002665F9"/>
    <w:rsid w:val="002866D1"/>
    <w:rsid w:val="00295D46"/>
    <w:rsid w:val="002A4D8E"/>
    <w:rsid w:val="002B49BB"/>
    <w:rsid w:val="002D2F0A"/>
    <w:rsid w:val="002E5C32"/>
    <w:rsid w:val="003028F4"/>
    <w:rsid w:val="00302BF7"/>
    <w:rsid w:val="00317868"/>
    <w:rsid w:val="00342B77"/>
    <w:rsid w:val="00370AD3"/>
    <w:rsid w:val="0037140B"/>
    <w:rsid w:val="00392282"/>
    <w:rsid w:val="003951AD"/>
    <w:rsid w:val="003968A9"/>
    <w:rsid w:val="003B302D"/>
    <w:rsid w:val="003F62EA"/>
    <w:rsid w:val="004371C9"/>
    <w:rsid w:val="004A3AF7"/>
    <w:rsid w:val="004C32BC"/>
    <w:rsid w:val="004C4CD9"/>
    <w:rsid w:val="004D46FB"/>
    <w:rsid w:val="004F3283"/>
    <w:rsid w:val="005129D0"/>
    <w:rsid w:val="00553D87"/>
    <w:rsid w:val="00573CC4"/>
    <w:rsid w:val="00597222"/>
    <w:rsid w:val="006073A2"/>
    <w:rsid w:val="00627B9B"/>
    <w:rsid w:val="00642A5E"/>
    <w:rsid w:val="006467DC"/>
    <w:rsid w:val="00646F09"/>
    <w:rsid w:val="00650BA8"/>
    <w:rsid w:val="00691258"/>
    <w:rsid w:val="006A57BE"/>
    <w:rsid w:val="006C5185"/>
    <w:rsid w:val="006C75F3"/>
    <w:rsid w:val="006D57EF"/>
    <w:rsid w:val="006E55E7"/>
    <w:rsid w:val="00700933"/>
    <w:rsid w:val="0070692A"/>
    <w:rsid w:val="007107A6"/>
    <w:rsid w:val="00712BBF"/>
    <w:rsid w:val="00750EC6"/>
    <w:rsid w:val="0078206F"/>
    <w:rsid w:val="007969DA"/>
    <w:rsid w:val="007D34AF"/>
    <w:rsid w:val="008238FD"/>
    <w:rsid w:val="008244DF"/>
    <w:rsid w:val="008330A8"/>
    <w:rsid w:val="008374BD"/>
    <w:rsid w:val="00873A76"/>
    <w:rsid w:val="00893CC9"/>
    <w:rsid w:val="008C41E0"/>
    <w:rsid w:val="008D104D"/>
    <w:rsid w:val="008F7952"/>
    <w:rsid w:val="00911141"/>
    <w:rsid w:val="00926334"/>
    <w:rsid w:val="009664D4"/>
    <w:rsid w:val="00970474"/>
    <w:rsid w:val="0097562D"/>
    <w:rsid w:val="00A251F3"/>
    <w:rsid w:val="00A35BF5"/>
    <w:rsid w:val="00A85181"/>
    <w:rsid w:val="00AB7AC1"/>
    <w:rsid w:val="00AD5608"/>
    <w:rsid w:val="00B1438A"/>
    <w:rsid w:val="00B3005F"/>
    <w:rsid w:val="00B3710B"/>
    <w:rsid w:val="00B82351"/>
    <w:rsid w:val="00B95AFE"/>
    <w:rsid w:val="00BC09AA"/>
    <w:rsid w:val="00BC6756"/>
    <w:rsid w:val="00BD59F4"/>
    <w:rsid w:val="00C31E20"/>
    <w:rsid w:val="00C5483C"/>
    <w:rsid w:val="00C6684E"/>
    <w:rsid w:val="00CA7B48"/>
    <w:rsid w:val="00CC3A59"/>
    <w:rsid w:val="00CC7CB5"/>
    <w:rsid w:val="00CF3875"/>
    <w:rsid w:val="00D16140"/>
    <w:rsid w:val="00D2637D"/>
    <w:rsid w:val="00D61BC0"/>
    <w:rsid w:val="00E01F29"/>
    <w:rsid w:val="00E12F21"/>
    <w:rsid w:val="00E1594B"/>
    <w:rsid w:val="00E41330"/>
    <w:rsid w:val="00E701D3"/>
    <w:rsid w:val="00E710BE"/>
    <w:rsid w:val="00EA4008"/>
    <w:rsid w:val="00EB071B"/>
    <w:rsid w:val="00F41CB4"/>
    <w:rsid w:val="00F423B6"/>
    <w:rsid w:val="00F4755B"/>
    <w:rsid w:val="00F648C0"/>
    <w:rsid w:val="00FC02E1"/>
    <w:rsid w:val="00FD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55B"/>
    <w:pPr>
      <w:tabs>
        <w:tab w:val="center" w:pos="4513"/>
        <w:tab w:val="right" w:pos="9026"/>
      </w:tabs>
    </w:pPr>
  </w:style>
  <w:style w:type="character" w:customStyle="1" w:styleId="HeaderChar">
    <w:name w:val="Header Char"/>
    <w:basedOn w:val="DefaultParagraphFont"/>
    <w:link w:val="Header"/>
    <w:rsid w:val="00F4755B"/>
    <w:rPr>
      <w:rFonts w:ascii="Calibri" w:eastAsia="Calibri" w:hAnsi="Calibri" w:cs="Times New Roman"/>
    </w:rPr>
  </w:style>
  <w:style w:type="paragraph" w:styleId="Footer">
    <w:name w:val="footer"/>
    <w:basedOn w:val="Normal"/>
    <w:link w:val="FooterChar"/>
    <w:uiPriority w:val="99"/>
    <w:rsid w:val="00F4755B"/>
    <w:pPr>
      <w:tabs>
        <w:tab w:val="center" w:pos="4513"/>
        <w:tab w:val="right" w:pos="9026"/>
      </w:tabs>
    </w:pPr>
  </w:style>
  <w:style w:type="character" w:customStyle="1" w:styleId="FooterChar">
    <w:name w:val="Footer Char"/>
    <w:basedOn w:val="DefaultParagraphFont"/>
    <w:link w:val="Footer"/>
    <w:uiPriority w:val="99"/>
    <w:rsid w:val="00F4755B"/>
    <w:rPr>
      <w:rFonts w:ascii="Calibri" w:eastAsia="Calibri" w:hAnsi="Calibri" w:cs="Times New Roman"/>
    </w:rPr>
  </w:style>
  <w:style w:type="paragraph" w:customStyle="1" w:styleId="Default">
    <w:name w:val="Default"/>
    <w:rsid w:val="00F4755B"/>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Hyperlink">
    <w:name w:val="Hyperlink"/>
    <w:uiPriority w:val="99"/>
    <w:unhideWhenUsed/>
    <w:rsid w:val="00F4755B"/>
    <w:rPr>
      <w:color w:val="0000FF"/>
      <w:u w:val="single"/>
    </w:rPr>
  </w:style>
  <w:style w:type="paragraph" w:styleId="FootnoteText">
    <w:name w:val="footnote text"/>
    <w:basedOn w:val="Normal"/>
    <w:link w:val="FootnoteTextChar"/>
    <w:rsid w:val="00F4755B"/>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rsid w:val="00F4755B"/>
    <w:rPr>
      <w:rFonts w:ascii="Times New Roman" w:eastAsia="Times New Roman" w:hAnsi="Times New Roman" w:cs="Times New Roman"/>
      <w:sz w:val="20"/>
      <w:szCs w:val="20"/>
      <w:lang w:eastAsia="en-AU"/>
    </w:rPr>
  </w:style>
  <w:style w:type="character" w:styleId="FootnoteReference">
    <w:name w:val="footnote reference"/>
    <w:rsid w:val="00F4755B"/>
    <w:rPr>
      <w:vertAlign w:val="superscript"/>
    </w:rPr>
  </w:style>
  <w:style w:type="paragraph" w:styleId="BalloonText">
    <w:name w:val="Balloon Text"/>
    <w:basedOn w:val="Normal"/>
    <w:link w:val="BalloonTextChar"/>
    <w:uiPriority w:val="99"/>
    <w:semiHidden/>
    <w:unhideWhenUsed/>
    <w:rsid w:val="00F4755B"/>
    <w:rPr>
      <w:rFonts w:ascii="Tahoma" w:hAnsi="Tahoma" w:cs="Tahoma"/>
      <w:sz w:val="16"/>
      <w:szCs w:val="16"/>
    </w:rPr>
  </w:style>
  <w:style w:type="character" w:customStyle="1" w:styleId="BalloonTextChar">
    <w:name w:val="Balloon Text Char"/>
    <w:basedOn w:val="DefaultParagraphFont"/>
    <w:link w:val="BalloonText"/>
    <w:uiPriority w:val="99"/>
    <w:semiHidden/>
    <w:rsid w:val="00F4755B"/>
    <w:rPr>
      <w:rFonts w:ascii="Tahoma" w:eastAsia="Calibri" w:hAnsi="Tahoma" w:cs="Tahoma"/>
      <w:sz w:val="16"/>
      <w:szCs w:val="16"/>
    </w:rPr>
  </w:style>
  <w:style w:type="character" w:customStyle="1" w:styleId="apple-converted-space">
    <w:name w:val="apple-converted-space"/>
    <w:basedOn w:val="DefaultParagraphFont"/>
    <w:rsid w:val="00BC09AA"/>
  </w:style>
  <w:style w:type="paragraph" w:styleId="ListParagraph">
    <w:name w:val="List Paragraph"/>
    <w:basedOn w:val="Normal"/>
    <w:uiPriority w:val="34"/>
    <w:qFormat/>
    <w:rsid w:val="00175656"/>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63CFF"/>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1202B7"/>
    <w:rPr>
      <w:color w:val="800080" w:themeColor="followedHyperlink"/>
      <w:u w:val="single"/>
    </w:rPr>
  </w:style>
  <w:style w:type="character" w:customStyle="1" w:styleId="bnwrappedspan">
    <w:name w:val="bn_wrapped_span"/>
    <w:basedOn w:val="DefaultParagraphFont"/>
    <w:rsid w:val="00BD5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55B"/>
    <w:pPr>
      <w:tabs>
        <w:tab w:val="center" w:pos="4513"/>
        <w:tab w:val="right" w:pos="9026"/>
      </w:tabs>
    </w:pPr>
  </w:style>
  <w:style w:type="character" w:customStyle="1" w:styleId="HeaderChar">
    <w:name w:val="Header Char"/>
    <w:basedOn w:val="DefaultParagraphFont"/>
    <w:link w:val="Header"/>
    <w:rsid w:val="00F4755B"/>
    <w:rPr>
      <w:rFonts w:ascii="Calibri" w:eastAsia="Calibri" w:hAnsi="Calibri" w:cs="Times New Roman"/>
    </w:rPr>
  </w:style>
  <w:style w:type="paragraph" w:styleId="Footer">
    <w:name w:val="footer"/>
    <w:basedOn w:val="Normal"/>
    <w:link w:val="FooterChar"/>
    <w:uiPriority w:val="99"/>
    <w:rsid w:val="00F4755B"/>
    <w:pPr>
      <w:tabs>
        <w:tab w:val="center" w:pos="4513"/>
        <w:tab w:val="right" w:pos="9026"/>
      </w:tabs>
    </w:pPr>
  </w:style>
  <w:style w:type="character" w:customStyle="1" w:styleId="FooterChar">
    <w:name w:val="Footer Char"/>
    <w:basedOn w:val="DefaultParagraphFont"/>
    <w:link w:val="Footer"/>
    <w:uiPriority w:val="99"/>
    <w:rsid w:val="00F4755B"/>
    <w:rPr>
      <w:rFonts w:ascii="Calibri" w:eastAsia="Calibri" w:hAnsi="Calibri" w:cs="Times New Roman"/>
    </w:rPr>
  </w:style>
  <w:style w:type="paragraph" w:customStyle="1" w:styleId="Default">
    <w:name w:val="Default"/>
    <w:rsid w:val="00F4755B"/>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Hyperlink">
    <w:name w:val="Hyperlink"/>
    <w:uiPriority w:val="99"/>
    <w:unhideWhenUsed/>
    <w:rsid w:val="00F4755B"/>
    <w:rPr>
      <w:color w:val="0000FF"/>
      <w:u w:val="single"/>
    </w:rPr>
  </w:style>
  <w:style w:type="paragraph" w:styleId="FootnoteText">
    <w:name w:val="footnote text"/>
    <w:basedOn w:val="Normal"/>
    <w:link w:val="FootnoteTextChar"/>
    <w:rsid w:val="00F4755B"/>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rsid w:val="00F4755B"/>
    <w:rPr>
      <w:rFonts w:ascii="Times New Roman" w:eastAsia="Times New Roman" w:hAnsi="Times New Roman" w:cs="Times New Roman"/>
      <w:sz w:val="20"/>
      <w:szCs w:val="20"/>
      <w:lang w:eastAsia="en-AU"/>
    </w:rPr>
  </w:style>
  <w:style w:type="character" w:styleId="FootnoteReference">
    <w:name w:val="footnote reference"/>
    <w:rsid w:val="00F4755B"/>
    <w:rPr>
      <w:vertAlign w:val="superscript"/>
    </w:rPr>
  </w:style>
  <w:style w:type="paragraph" w:styleId="BalloonText">
    <w:name w:val="Balloon Text"/>
    <w:basedOn w:val="Normal"/>
    <w:link w:val="BalloonTextChar"/>
    <w:uiPriority w:val="99"/>
    <w:semiHidden/>
    <w:unhideWhenUsed/>
    <w:rsid w:val="00F4755B"/>
    <w:rPr>
      <w:rFonts w:ascii="Tahoma" w:hAnsi="Tahoma" w:cs="Tahoma"/>
      <w:sz w:val="16"/>
      <w:szCs w:val="16"/>
    </w:rPr>
  </w:style>
  <w:style w:type="character" w:customStyle="1" w:styleId="BalloonTextChar">
    <w:name w:val="Balloon Text Char"/>
    <w:basedOn w:val="DefaultParagraphFont"/>
    <w:link w:val="BalloonText"/>
    <w:uiPriority w:val="99"/>
    <w:semiHidden/>
    <w:rsid w:val="00F4755B"/>
    <w:rPr>
      <w:rFonts w:ascii="Tahoma" w:eastAsia="Calibri" w:hAnsi="Tahoma" w:cs="Tahoma"/>
      <w:sz w:val="16"/>
      <w:szCs w:val="16"/>
    </w:rPr>
  </w:style>
  <w:style w:type="character" w:customStyle="1" w:styleId="apple-converted-space">
    <w:name w:val="apple-converted-space"/>
    <w:basedOn w:val="DefaultParagraphFont"/>
    <w:rsid w:val="00BC09AA"/>
  </w:style>
  <w:style w:type="paragraph" w:styleId="ListParagraph">
    <w:name w:val="List Paragraph"/>
    <w:basedOn w:val="Normal"/>
    <w:uiPriority w:val="34"/>
    <w:qFormat/>
    <w:rsid w:val="00175656"/>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163CFF"/>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1202B7"/>
    <w:rPr>
      <w:color w:val="800080" w:themeColor="followedHyperlink"/>
      <w:u w:val="single"/>
    </w:rPr>
  </w:style>
  <w:style w:type="character" w:customStyle="1" w:styleId="bnwrappedspan">
    <w:name w:val="bn_wrapped_span"/>
    <w:basedOn w:val="DefaultParagraphFont"/>
    <w:rsid w:val="00BD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4314">
      <w:bodyDiv w:val="1"/>
      <w:marLeft w:val="0"/>
      <w:marRight w:val="0"/>
      <w:marTop w:val="0"/>
      <w:marBottom w:val="0"/>
      <w:divBdr>
        <w:top w:val="none" w:sz="0" w:space="0" w:color="auto"/>
        <w:left w:val="none" w:sz="0" w:space="0" w:color="auto"/>
        <w:bottom w:val="none" w:sz="0" w:space="0" w:color="auto"/>
        <w:right w:val="none" w:sz="0" w:space="0" w:color="auto"/>
      </w:divBdr>
    </w:div>
    <w:div w:id="589510121">
      <w:bodyDiv w:val="1"/>
      <w:marLeft w:val="0"/>
      <w:marRight w:val="0"/>
      <w:marTop w:val="0"/>
      <w:marBottom w:val="0"/>
      <w:divBdr>
        <w:top w:val="none" w:sz="0" w:space="0" w:color="auto"/>
        <w:left w:val="none" w:sz="0" w:space="0" w:color="auto"/>
        <w:bottom w:val="none" w:sz="0" w:space="0" w:color="auto"/>
        <w:right w:val="none" w:sz="0" w:space="0" w:color="auto"/>
      </w:divBdr>
    </w:div>
    <w:div w:id="764574333">
      <w:bodyDiv w:val="1"/>
      <w:marLeft w:val="0"/>
      <w:marRight w:val="0"/>
      <w:marTop w:val="0"/>
      <w:marBottom w:val="0"/>
      <w:divBdr>
        <w:top w:val="none" w:sz="0" w:space="0" w:color="auto"/>
        <w:left w:val="none" w:sz="0" w:space="0" w:color="auto"/>
        <w:bottom w:val="none" w:sz="0" w:space="0" w:color="auto"/>
        <w:right w:val="none" w:sz="0" w:space="0" w:color="auto"/>
      </w:divBdr>
    </w:div>
    <w:div w:id="8511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cgi-bin/sinodisp/au/cases/nsw/NSWSC/2015/357.html" TargetMode="External"/><Relationship Id="rId13" Type="http://schemas.openxmlformats.org/officeDocument/2006/relationships/hyperlink" Target="http://www.austlii.edu.au/au/legis/qld/consol_act/caca2001219/s210.html" TargetMode="External"/><Relationship Id="rId3" Type="http://schemas.openxmlformats.org/officeDocument/2006/relationships/hyperlink" Target="https://www.dpmc.gov.au/sites/default/files/publications/inslm_report_impact_s35p_journalists.pdf" TargetMode="External"/><Relationship Id="rId7" Type="http://schemas.openxmlformats.org/officeDocument/2006/relationships/hyperlink" Target="http://www.austlii.edu.au/au/legis/qld/consol_act/caca2001219/s202.html" TargetMode="External"/><Relationship Id="rId12" Type="http://schemas.openxmlformats.org/officeDocument/2006/relationships/hyperlink" Target="http://www.austlii.edu.au/au/legis/qld/consol_act/ja199591/s69a.html" TargetMode="External"/><Relationship Id="rId2" Type="http://schemas.openxmlformats.org/officeDocument/2006/relationships/hyperlink" Target="https://jade.io/article/67850" TargetMode="External"/><Relationship Id="rId1" Type="http://schemas.openxmlformats.org/officeDocument/2006/relationships/hyperlink" Target="http://www.austlii.edu.au/au/legis/qld/consol_act/caca2001219/s15.html" TargetMode="External"/><Relationship Id="rId6" Type="http://schemas.openxmlformats.org/officeDocument/2006/relationships/hyperlink" Target="http://www.austlii.edu.au/cgi-bin/sinodisp/au/cases/qld/QCA/2004/135.html?stem=0&amp;synonyms=0&amp;query=favell%20and%20queensland%20newspaper%20and%20high%20court" TargetMode="External"/><Relationship Id="rId11" Type="http://schemas.openxmlformats.org/officeDocument/2006/relationships/hyperlink" Target="http://www.austlii.edu.au/cgi-bin/sinodisp/au/cases/nsw/NSWCCA/2015/330.html?stem=0&amp;synonyms=0&amp;query=%22hey%20dad%22%20and%20appeal" TargetMode="External"/><Relationship Id="rId5" Type="http://schemas.openxmlformats.org/officeDocument/2006/relationships/hyperlink" Target="http://www.alrc.gov.au/sites/default/files/subs/70._org_joint_media_organisations_final.pdf" TargetMode="External"/><Relationship Id="rId10" Type="http://schemas.openxmlformats.org/officeDocument/2006/relationships/hyperlink" Target="http://archive.sclqld.org.au/qjudgment/2008/QCA08-227.pdf" TargetMode="External"/><Relationship Id="rId4" Type="http://schemas.openxmlformats.org/officeDocument/2006/relationships/hyperlink" Target="https://www.alrc.gov.au/publications/freedoms-alrc129" TargetMode="External"/><Relationship Id="rId9" Type="http://schemas.openxmlformats.org/officeDocument/2006/relationships/hyperlink" Target="http://www.austlii.edu.au/cgi-bin/sinodisp/au/cases/cth/HCA/2016/10.html" TargetMode="External"/><Relationship Id="rId14" Type="http://schemas.openxmlformats.org/officeDocument/2006/relationships/hyperlink" Target="http://www.justice.qld.gov.au/__data/assets/pdf_file/0020/204536/queensland-government-response-to-cmc-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7F09-93E5-4F80-95C7-0AE279D2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Georgia-Kate</dc:creator>
  <cp:lastModifiedBy>Mike Dobbie</cp:lastModifiedBy>
  <cp:revision>2</cp:revision>
  <cp:lastPrinted>2016-07-25T20:51:00Z</cp:lastPrinted>
  <dcterms:created xsi:type="dcterms:W3CDTF">2016-12-12T03:32:00Z</dcterms:created>
  <dcterms:modified xsi:type="dcterms:W3CDTF">2016-12-12T03:32:00Z</dcterms:modified>
</cp:coreProperties>
</file>